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6876" w14:textId="0396D315" w:rsidR="00AA39B2" w:rsidRPr="00C7394A" w:rsidRDefault="00AA39B2" w:rsidP="008E7228">
      <w:pPr>
        <w:jc w:val="center"/>
        <w:rPr>
          <w:rFonts w:ascii="Arial" w:hAnsi="Arial" w:cs="Arial"/>
          <w:b/>
          <w:bCs/>
        </w:rPr>
      </w:pPr>
      <w:r w:rsidRPr="00C7394A">
        <w:rPr>
          <w:rFonts w:ascii="Arial" w:hAnsi="Arial" w:cs="Arial"/>
          <w:b/>
          <w:bCs/>
        </w:rPr>
        <w:t>AVIS D</w:t>
      </w:r>
      <w:r w:rsidR="00D50242" w:rsidRPr="00C7394A">
        <w:rPr>
          <w:rFonts w:ascii="Arial" w:hAnsi="Arial" w:cs="Arial"/>
          <w:b/>
          <w:bCs/>
        </w:rPr>
        <w:t>’OUVERTURE DE</w:t>
      </w:r>
      <w:r w:rsidRPr="00C7394A">
        <w:rPr>
          <w:rFonts w:ascii="Arial" w:hAnsi="Arial" w:cs="Arial"/>
          <w:b/>
          <w:bCs/>
        </w:rPr>
        <w:t xml:space="preserve"> FENETRE DE DEPOT</w:t>
      </w:r>
    </w:p>
    <w:p w14:paraId="2F5B7F18" w14:textId="1284540E" w:rsidR="00AA39B2" w:rsidRPr="00C7394A" w:rsidRDefault="00AA39B2" w:rsidP="008E7228">
      <w:pPr>
        <w:jc w:val="center"/>
        <w:rPr>
          <w:rFonts w:ascii="Arial" w:hAnsi="Arial" w:cs="Arial"/>
          <w:b/>
          <w:bCs/>
        </w:rPr>
      </w:pPr>
      <w:r w:rsidRPr="00C7394A">
        <w:rPr>
          <w:rFonts w:ascii="Arial" w:hAnsi="Arial" w:cs="Arial"/>
          <w:b/>
          <w:bCs/>
        </w:rPr>
        <w:t>POUR UN ACCOMPAGNEMENT</w:t>
      </w:r>
      <w:r w:rsidR="00D50242" w:rsidRPr="00C7394A">
        <w:rPr>
          <w:rFonts w:ascii="Arial" w:hAnsi="Arial" w:cs="Arial"/>
          <w:b/>
          <w:bCs/>
        </w:rPr>
        <w:t xml:space="preserve"> </w:t>
      </w:r>
      <w:r w:rsidRPr="00C7394A">
        <w:rPr>
          <w:rFonts w:ascii="Arial" w:hAnsi="Arial" w:cs="Arial"/>
          <w:b/>
          <w:bCs/>
        </w:rPr>
        <w:t xml:space="preserve">SUR LES MAQUETTES ORGANISATIONNELLES ET </w:t>
      </w:r>
      <w:r w:rsidR="0062009B" w:rsidRPr="00CB79B7">
        <w:rPr>
          <w:rFonts w:ascii="Arial" w:hAnsi="Arial" w:cs="Arial"/>
          <w:b/>
          <w:bCs/>
        </w:rPr>
        <w:t>LA</w:t>
      </w:r>
      <w:r w:rsidR="0062009B">
        <w:rPr>
          <w:rFonts w:ascii="Arial" w:hAnsi="Arial" w:cs="Arial"/>
          <w:b/>
          <w:bCs/>
        </w:rPr>
        <w:t xml:space="preserve"> </w:t>
      </w:r>
      <w:r w:rsidRPr="00C7394A">
        <w:rPr>
          <w:rFonts w:ascii="Arial" w:hAnsi="Arial" w:cs="Arial"/>
          <w:b/>
          <w:bCs/>
        </w:rPr>
        <w:t>GESTION DU TEMPS DE TRAVAIL</w:t>
      </w:r>
      <w:r w:rsidR="00D0270E">
        <w:rPr>
          <w:rFonts w:ascii="Arial" w:hAnsi="Arial" w:cs="Arial"/>
          <w:b/>
          <w:bCs/>
        </w:rPr>
        <w:t xml:space="preserve"> EN EHPAD</w:t>
      </w:r>
    </w:p>
    <w:p w14:paraId="0B8CEFD7" w14:textId="66353CB5" w:rsidR="00AA39B2" w:rsidRPr="00C7394A" w:rsidRDefault="00CF1969" w:rsidP="00CF19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------------------------------------------</w:t>
      </w:r>
    </w:p>
    <w:p w14:paraId="27B7B0FD" w14:textId="77777777" w:rsidR="00C7394A" w:rsidRPr="00C7394A" w:rsidRDefault="00C7394A" w:rsidP="002033FC">
      <w:pPr>
        <w:jc w:val="both"/>
        <w:rPr>
          <w:rFonts w:ascii="Arial" w:hAnsi="Arial" w:cs="Arial"/>
          <w:b/>
          <w:bCs/>
        </w:rPr>
      </w:pPr>
    </w:p>
    <w:p w14:paraId="14152FF1" w14:textId="1CE0922B" w:rsidR="00AA39B2" w:rsidRPr="00C7394A" w:rsidRDefault="00C7394A" w:rsidP="00C7394A">
      <w:pPr>
        <w:jc w:val="both"/>
        <w:rPr>
          <w:rFonts w:ascii="Arial" w:hAnsi="Arial" w:cs="Arial"/>
          <w:b/>
          <w:bCs/>
        </w:rPr>
      </w:pPr>
      <w:bookmarkStart w:id="0" w:name="_Hlk199753343"/>
      <w:r>
        <w:rPr>
          <w:rFonts w:ascii="Arial" w:hAnsi="Arial" w:cs="Arial"/>
          <w:b/>
          <w:bCs/>
        </w:rPr>
        <w:t>1.</w:t>
      </w:r>
      <w:r w:rsidR="00D50242" w:rsidRPr="00C7394A">
        <w:rPr>
          <w:rFonts w:ascii="Arial" w:hAnsi="Arial" w:cs="Arial"/>
          <w:b/>
          <w:bCs/>
        </w:rPr>
        <w:t xml:space="preserve">QUALITE ET ADRESSE DE L’AUTORITE EN CHARGE DE L’APPEL A CANDIDATURES </w:t>
      </w:r>
    </w:p>
    <w:bookmarkEnd w:id="0"/>
    <w:p w14:paraId="07245851" w14:textId="77777777" w:rsidR="00D50242" w:rsidRPr="00C7394A" w:rsidRDefault="00D50242" w:rsidP="00D50242">
      <w:pPr>
        <w:jc w:val="both"/>
        <w:rPr>
          <w:rFonts w:ascii="Arial" w:hAnsi="Arial" w:cs="Arial"/>
        </w:rPr>
      </w:pPr>
    </w:p>
    <w:p w14:paraId="59E5F76E" w14:textId="0CD5F4FD" w:rsidR="00D50242" w:rsidRPr="00C7394A" w:rsidRDefault="00D50242" w:rsidP="00D50242">
      <w:pPr>
        <w:jc w:val="both"/>
        <w:rPr>
          <w:rFonts w:ascii="Arial" w:hAnsi="Arial" w:cs="Arial"/>
        </w:rPr>
      </w:pPr>
      <w:r w:rsidRPr="00C7394A">
        <w:rPr>
          <w:rFonts w:ascii="Arial" w:hAnsi="Arial" w:cs="Arial"/>
        </w:rPr>
        <w:t>Cette fenêtre de dépôt est portée par :</w:t>
      </w:r>
    </w:p>
    <w:p w14:paraId="28314314" w14:textId="0A86E0DE" w:rsidR="00D50242" w:rsidRPr="00C7394A" w:rsidRDefault="00D50242" w:rsidP="00CF1969">
      <w:pPr>
        <w:ind w:left="1416"/>
        <w:rPr>
          <w:rFonts w:ascii="Arial" w:hAnsi="Arial" w:cs="Arial"/>
        </w:rPr>
      </w:pPr>
      <w:r w:rsidRPr="00C7394A">
        <w:rPr>
          <w:rFonts w:ascii="Arial" w:hAnsi="Arial" w:cs="Arial"/>
        </w:rPr>
        <w:t>Monsieur JUMEL</w:t>
      </w:r>
    </w:p>
    <w:p w14:paraId="43790534" w14:textId="46C8B895" w:rsidR="00D50242" w:rsidRPr="00C7394A" w:rsidRDefault="00D50242" w:rsidP="00CF1969">
      <w:pPr>
        <w:ind w:left="1416"/>
        <w:rPr>
          <w:rFonts w:ascii="Arial" w:hAnsi="Arial" w:cs="Arial"/>
        </w:rPr>
      </w:pPr>
      <w:r w:rsidRPr="00C7394A">
        <w:rPr>
          <w:rFonts w:ascii="Arial" w:hAnsi="Arial" w:cs="Arial"/>
        </w:rPr>
        <w:t>Directeur général de l’Agence Régionale de Santé des Pays de la Loire</w:t>
      </w:r>
    </w:p>
    <w:p w14:paraId="27DFF013" w14:textId="737CB072" w:rsidR="00D50242" w:rsidRPr="00C7394A" w:rsidRDefault="00D50242" w:rsidP="00CF1969">
      <w:pPr>
        <w:ind w:left="1416"/>
        <w:rPr>
          <w:rFonts w:ascii="Arial" w:hAnsi="Arial" w:cs="Arial"/>
        </w:rPr>
      </w:pPr>
      <w:r w:rsidRPr="00C7394A">
        <w:rPr>
          <w:rFonts w:ascii="Arial" w:hAnsi="Arial" w:cs="Arial"/>
        </w:rPr>
        <w:t>17 Bd Gaston Doumergue</w:t>
      </w:r>
    </w:p>
    <w:p w14:paraId="7462CE75" w14:textId="5D687ED1" w:rsidR="00D50242" w:rsidRPr="00C7394A" w:rsidRDefault="00D50242" w:rsidP="00CF1969">
      <w:pPr>
        <w:ind w:left="1416"/>
        <w:rPr>
          <w:rFonts w:ascii="Arial" w:hAnsi="Arial" w:cs="Arial"/>
        </w:rPr>
      </w:pPr>
      <w:r w:rsidRPr="00C7394A">
        <w:rPr>
          <w:rFonts w:ascii="Arial" w:hAnsi="Arial" w:cs="Arial"/>
        </w:rPr>
        <w:t>44262 NANTES Cedex 2</w:t>
      </w:r>
    </w:p>
    <w:p w14:paraId="38772B07" w14:textId="77777777" w:rsidR="00D50242" w:rsidRPr="00C7394A" w:rsidRDefault="00D50242" w:rsidP="002033FC">
      <w:pPr>
        <w:jc w:val="both"/>
        <w:rPr>
          <w:rFonts w:ascii="Arial" w:hAnsi="Arial" w:cs="Arial"/>
          <w:b/>
          <w:bCs/>
        </w:rPr>
      </w:pPr>
    </w:p>
    <w:p w14:paraId="6553C9FF" w14:textId="164732F6" w:rsidR="00D50242" w:rsidRPr="00C7394A" w:rsidRDefault="00C7394A" w:rsidP="00C7394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 w:rsidR="00D50242" w:rsidRPr="00C7394A">
        <w:rPr>
          <w:rFonts w:ascii="Arial" w:hAnsi="Arial" w:cs="Arial"/>
          <w:b/>
          <w:bCs/>
        </w:rPr>
        <w:t>OBJET DE LA FENETRE DE DEPOT</w:t>
      </w:r>
    </w:p>
    <w:p w14:paraId="20BD8CCE" w14:textId="77777777" w:rsidR="00C7394A" w:rsidRPr="00C7394A" w:rsidRDefault="00C7394A" w:rsidP="00C7394A">
      <w:pPr>
        <w:pStyle w:val="Paragraphedeliste"/>
        <w:jc w:val="both"/>
        <w:rPr>
          <w:rFonts w:ascii="Arial" w:hAnsi="Arial" w:cs="Arial"/>
          <w:b/>
          <w:bCs/>
        </w:rPr>
      </w:pPr>
    </w:p>
    <w:p w14:paraId="7394EA01" w14:textId="0AA7A263" w:rsidR="00D50242" w:rsidRPr="00C7394A" w:rsidRDefault="00D50242" w:rsidP="00D50242">
      <w:pPr>
        <w:jc w:val="both"/>
        <w:rPr>
          <w:rFonts w:ascii="Arial" w:hAnsi="Arial" w:cs="Arial"/>
          <w:b/>
          <w:bCs/>
        </w:rPr>
      </w:pPr>
      <w:r w:rsidRPr="00C7394A">
        <w:rPr>
          <w:rFonts w:ascii="Arial" w:hAnsi="Arial" w:cs="Arial"/>
        </w:rPr>
        <w:t xml:space="preserve">L’objet de cette fenêtre de dépôt a pour objet la mise en place d’un accompagnement sur les maquettes organisationnelles et </w:t>
      </w:r>
      <w:r w:rsidR="006E5F4B">
        <w:rPr>
          <w:rFonts w:ascii="Arial" w:hAnsi="Arial" w:cs="Arial"/>
        </w:rPr>
        <w:t xml:space="preserve">la </w:t>
      </w:r>
      <w:r w:rsidRPr="00C7394A">
        <w:rPr>
          <w:rFonts w:ascii="Arial" w:hAnsi="Arial" w:cs="Arial"/>
        </w:rPr>
        <w:t>gestion du temps de travail en EHPAD</w:t>
      </w:r>
      <w:r w:rsidRPr="00C7394A">
        <w:rPr>
          <w:rFonts w:ascii="Arial" w:hAnsi="Arial" w:cs="Arial"/>
          <w:b/>
          <w:bCs/>
        </w:rPr>
        <w:t>.</w:t>
      </w:r>
    </w:p>
    <w:p w14:paraId="1AAEB969" w14:textId="693A106C" w:rsidR="00D50242" w:rsidRPr="00C7394A" w:rsidRDefault="00D50242" w:rsidP="00D50242">
      <w:pPr>
        <w:jc w:val="both"/>
        <w:rPr>
          <w:rFonts w:ascii="Arial" w:hAnsi="Arial" w:cs="Arial"/>
          <w:b/>
          <w:bCs/>
        </w:rPr>
      </w:pPr>
      <w:r w:rsidRPr="00C7394A">
        <w:rPr>
          <w:rFonts w:ascii="Arial" w:hAnsi="Arial" w:cs="Arial"/>
          <w:b/>
          <w:bCs/>
        </w:rPr>
        <w:t xml:space="preserve"> </w:t>
      </w:r>
    </w:p>
    <w:p w14:paraId="3815F692" w14:textId="24C32077" w:rsidR="002033FC" w:rsidRPr="00C7394A" w:rsidRDefault="00000599" w:rsidP="002033FC">
      <w:pPr>
        <w:jc w:val="both"/>
        <w:rPr>
          <w:rFonts w:ascii="Arial" w:hAnsi="Arial" w:cs="Arial"/>
          <w:b/>
          <w:bCs/>
        </w:rPr>
      </w:pPr>
      <w:r w:rsidRPr="00C7394A">
        <w:rPr>
          <w:rFonts w:ascii="Arial" w:hAnsi="Arial" w:cs="Arial"/>
          <w:b/>
          <w:bCs/>
        </w:rPr>
        <w:t>C</w:t>
      </w:r>
      <w:r w:rsidR="00D50242" w:rsidRPr="00C7394A">
        <w:rPr>
          <w:rFonts w:ascii="Arial" w:hAnsi="Arial" w:cs="Arial"/>
          <w:b/>
          <w:bCs/>
        </w:rPr>
        <w:t>andidats éligibles</w:t>
      </w:r>
      <w:r w:rsidRPr="00C7394A">
        <w:rPr>
          <w:rFonts w:ascii="Arial" w:hAnsi="Arial" w:cs="Arial"/>
          <w:b/>
          <w:bCs/>
        </w:rPr>
        <w:t> :</w:t>
      </w:r>
    </w:p>
    <w:p w14:paraId="61F9F9E0" w14:textId="2321997F" w:rsidR="002033FC" w:rsidRPr="00C7394A" w:rsidRDefault="002033FC" w:rsidP="002033FC">
      <w:pPr>
        <w:jc w:val="both"/>
        <w:rPr>
          <w:rFonts w:ascii="Arial" w:hAnsi="Arial" w:cs="Arial"/>
        </w:rPr>
      </w:pPr>
      <w:r w:rsidRPr="00C7394A">
        <w:rPr>
          <w:rFonts w:ascii="Arial" w:hAnsi="Arial" w:cs="Arial"/>
        </w:rPr>
        <w:t xml:space="preserve">Des Ehpad volontaires pour optimiser leur organisation </w:t>
      </w:r>
      <w:r w:rsidR="009C4436" w:rsidRPr="00C7394A">
        <w:rPr>
          <w:rFonts w:ascii="Arial" w:hAnsi="Arial" w:cs="Arial"/>
        </w:rPr>
        <w:t xml:space="preserve">visant </w:t>
      </w:r>
      <w:r w:rsidR="001200DE">
        <w:rPr>
          <w:rFonts w:ascii="Arial" w:hAnsi="Arial" w:cs="Arial"/>
        </w:rPr>
        <w:t xml:space="preserve">les équipes soignantes et plus particulièrement </w:t>
      </w:r>
      <w:r w:rsidR="009C4436" w:rsidRPr="00C7394A">
        <w:rPr>
          <w:rFonts w:ascii="Arial" w:hAnsi="Arial" w:cs="Arial"/>
        </w:rPr>
        <w:t>les AS/ASH</w:t>
      </w:r>
      <w:r w:rsidR="001200DE">
        <w:rPr>
          <w:rFonts w:ascii="Arial" w:hAnsi="Arial" w:cs="Arial"/>
        </w:rPr>
        <w:t>.</w:t>
      </w:r>
    </w:p>
    <w:p w14:paraId="1BBBC4C6" w14:textId="35EA49C2" w:rsidR="002033FC" w:rsidRPr="00F17368" w:rsidRDefault="002033FC" w:rsidP="002033FC">
      <w:pPr>
        <w:jc w:val="both"/>
        <w:rPr>
          <w:rFonts w:ascii="Arial" w:hAnsi="Arial" w:cs="Arial"/>
          <w:color w:val="FF0000"/>
        </w:rPr>
      </w:pPr>
      <w:r w:rsidRPr="00C7394A">
        <w:rPr>
          <w:rFonts w:ascii="Arial" w:hAnsi="Arial" w:cs="Arial"/>
        </w:rPr>
        <w:t>Seront exclus les Ehpad déjà bénéficiaires de l’accompag</w:t>
      </w:r>
      <w:r w:rsidR="0081690D" w:rsidRPr="00C7394A">
        <w:rPr>
          <w:rFonts w:ascii="Arial" w:hAnsi="Arial" w:cs="Arial"/>
        </w:rPr>
        <w:t>n</w:t>
      </w:r>
      <w:r w:rsidRPr="00C7394A">
        <w:rPr>
          <w:rFonts w:ascii="Arial" w:hAnsi="Arial" w:cs="Arial"/>
        </w:rPr>
        <w:t xml:space="preserve">ement en 2024 et du dispositif </w:t>
      </w:r>
      <w:proofErr w:type="spellStart"/>
      <w:r w:rsidRPr="00C7394A">
        <w:rPr>
          <w:rFonts w:ascii="Arial" w:hAnsi="Arial" w:cs="Arial"/>
        </w:rPr>
        <w:t>Perfehpad</w:t>
      </w:r>
      <w:proofErr w:type="spellEnd"/>
      <w:r w:rsidR="00AA39B2" w:rsidRPr="00C7394A">
        <w:rPr>
          <w:rFonts w:ascii="Arial" w:hAnsi="Arial" w:cs="Arial"/>
        </w:rPr>
        <w:t>.</w:t>
      </w:r>
      <w:r w:rsidR="0062009B">
        <w:rPr>
          <w:rFonts w:ascii="Arial" w:hAnsi="Arial" w:cs="Arial"/>
        </w:rPr>
        <w:t xml:space="preserve"> </w:t>
      </w:r>
    </w:p>
    <w:p w14:paraId="71A51492" w14:textId="2C0ACD59" w:rsidR="002033FC" w:rsidRPr="00C7394A" w:rsidRDefault="002033FC" w:rsidP="002033FC">
      <w:pPr>
        <w:jc w:val="both"/>
        <w:rPr>
          <w:rFonts w:ascii="Arial" w:hAnsi="Arial" w:cs="Arial"/>
        </w:rPr>
      </w:pPr>
      <w:r w:rsidRPr="00C7394A">
        <w:rPr>
          <w:rFonts w:ascii="Arial" w:hAnsi="Arial" w:cs="Arial"/>
        </w:rPr>
        <w:t xml:space="preserve">Le nombre d’établissements visé est au maximum de 20. </w:t>
      </w:r>
    </w:p>
    <w:p w14:paraId="1D8025A0" w14:textId="77777777" w:rsidR="00000599" w:rsidRPr="00C7394A" w:rsidRDefault="00000599" w:rsidP="002033FC">
      <w:pPr>
        <w:jc w:val="both"/>
        <w:rPr>
          <w:rFonts w:ascii="Arial" w:hAnsi="Arial" w:cs="Arial"/>
          <w:b/>
          <w:bCs/>
        </w:rPr>
      </w:pPr>
    </w:p>
    <w:p w14:paraId="64DAB30D" w14:textId="35A36805" w:rsidR="002033FC" w:rsidRPr="00C7394A" w:rsidRDefault="00C7394A" w:rsidP="002033F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</w:t>
      </w:r>
      <w:r w:rsidR="00000599" w:rsidRPr="00C7394A">
        <w:rPr>
          <w:rFonts w:ascii="Arial" w:hAnsi="Arial" w:cs="Arial"/>
          <w:b/>
          <w:bCs/>
        </w:rPr>
        <w:t>MODALITES </w:t>
      </w:r>
      <w:r w:rsidR="002033FC" w:rsidRPr="00C7394A">
        <w:rPr>
          <w:rFonts w:ascii="Arial" w:hAnsi="Arial" w:cs="Arial"/>
        </w:rPr>
        <w:t>:</w:t>
      </w:r>
    </w:p>
    <w:p w14:paraId="4A579D01" w14:textId="77777777" w:rsidR="00000599" w:rsidRPr="00C7394A" w:rsidRDefault="00000599" w:rsidP="002033FC">
      <w:pPr>
        <w:jc w:val="both"/>
        <w:rPr>
          <w:rFonts w:ascii="Arial" w:hAnsi="Arial" w:cs="Arial"/>
        </w:rPr>
      </w:pPr>
    </w:p>
    <w:p w14:paraId="1F4125C3" w14:textId="14BDDC85" w:rsidR="00EF4DEF" w:rsidRPr="00C7394A" w:rsidRDefault="00EF4DEF" w:rsidP="002033FC">
      <w:pPr>
        <w:jc w:val="both"/>
        <w:rPr>
          <w:rFonts w:ascii="Arial" w:hAnsi="Arial" w:cs="Arial"/>
          <w:b/>
          <w:bCs/>
        </w:rPr>
      </w:pPr>
      <w:r w:rsidRPr="00C7394A">
        <w:rPr>
          <w:rFonts w:ascii="Arial" w:hAnsi="Arial" w:cs="Arial"/>
          <w:b/>
          <w:bCs/>
        </w:rPr>
        <w:t>Méthode d’accompagnement :</w:t>
      </w:r>
    </w:p>
    <w:p w14:paraId="6624986A" w14:textId="034CEC5C" w:rsidR="00CF1969" w:rsidRPr="00C7394A" w:rsidRDefault="00CF1969" w:rsidP="00CF1969">
      <w:pPr>
        <w:ind w:left="4" w:right="113"/>
        <w:jc w:val="both"/>
        <w:rPr>
          <w:rFonts w:ascii="Arial" w:eastAsia="Calibri" w:hAnsi="Arial" w:cs="Arial"/>
        </w:rPr>
      </w:pPr>
      <w:r w:rsidRPr="00C7394A">
        <w:rPr>
          <w:rFonts w:ascii="Arial" w:eastAsia="Calibri" w:hAnsi="Arial" w:cs="Arial"/>
        </w:rPr>
        <w:t>Le projet concerne les équipes AS (jour et nuit) et ASH (soins, cuisine, entretien)</w:t>
      </w:r>
      <w:r w:rsidR="00173C95">
        <w:rPr>
          <w:rFonts w:ascii="Arial" w:eastAsia="Calibri" w:hAnsi="Arial" w:cs="Arial"/>
        </w:rPr>
        <w:t xml:space="preserve"> et le cas échéant</w:t>
      </w:r>
      <w:r w:rsidR="00173C95" w:rsidRPr="00173C95">
        <w:rPr>
          <w:rFonts w:ascii="Arial" w:eastAsia="Calibri" w:hAnsi="Arial" w:cs="Arial"/>
        </w:rPr>
        <w:t xml:space="preserve"> </w:t>
      </w:r>
      <w:r w:rsidR="00173C95" w:rsidRPr="00C7394A">
        <w:rPr>
          <w:rFonts w:ascii="Arial" w:eastAsia="Calibri" w:hAnsi="Arial" w:cs="Arial"/>
        </w:rPr>
        <w:t>IDE</w:t>
      </w:r>
      <w:r w:rsidR="00173C95">
        <w:rPr>
          <w:rFonts w:ascii="Arial" w:eastAsia="Calibri" w:hAnsi="Arial" w:cs="Arial"/>
        </w:rPr>
        <w:t>.</w:t>
      </w:r>
    </w:p>
    <w:p w14:paraId="4032DFB1" w14:textId="2677F2E3" w:rsidR="004A65AB" w:rsidRDefault="00841C71" w:rsidP="00CF1969">
      <w:pPr>
        <w:spacing w:after="120" w:line="256" w:lineRule="auto"/>
        <w:ind w:right="113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Selon le prestataire retenu, </w:t>
      </w:r>
      <w:r w:rsidR="00C749DF">
        <w:rPr>
          <w:rFonts w:ascii="Arial" w:hAnsi="Arial" w:cs="Arial"/>
          <w:kern w:val="0"/>
          <w14:ligatures w14:val="none"/>
        </w:rPr>
        <w:t xml:space="preserve">il s’agira d’un </w:t>
      </w:r>
      <w:r>
        <w:rPr>
          <w:rFonts w:ascii="Arial" w:hAnsi="Arial" w:cs="Arial"/>
          <w:kern w:val="0"/>
          <w14:ligatures w14:val="none"/>
        </w:rPr>
        <w:t>a</w:t>
      </w:r>
      <w:r w:rsidR="002E5CB2" w:rsidRPr="00C7394A">
        <w:rPr>
          <w:rFonts w:ascii="Arial" w:hAnsi="Arial" w:cs="Arial"/>
          <w:kern w:val="0"/>
          <w14:ligatures w14:val="none"/>
        </w:rPr>
        <w:t xml:space="preserve">ppui </w:t>
      </w:r>
      <w:r>
        <w:rPr>
          <w:rFonts w:ascii="Arial" w:hAnsi="Arial" w:cs="Arial"/>
          <w:kern w:val="0"/>
          <w14:ligatures w14:val="none"/>
        </w:rPr>
        <w:t xml:space="preserve">collectif le cas échéant pour la partie théorique, et </w:t>
      </w:r>
      <w:r w:rsidR="00C749DF">
        <w:rPr>
          <w:rFonts w:ascii="Arial" w:hAnsi="Arial" w:cs="Arial"/>
          <w:kern w:val="0"/>
          <w14:ligatures w14:val="none"/>
        </w:rPr>
        <w:t xml:space="preserve">d’un </w:t>
      </w:r>
      <w:r>
        <w:rPr>
          <w:rFonts w:ascii="Arial" w:hAnsi="Arial" w:cs="Arial"/>
          <w:kern w:val="0"/>
          <w14:ligatures w14:val="none"/>
        </w:rPr>
        <w:t xml:space="preserve">appui individualisé systématique. Accompagnement </w:t>
      </w:r>
      <w:r w:rsidR="002E5CB2" w:rsidRPr="00C7394A">
        <w:rPr>
          <w:rFonts w:ascii="Arial" w:hAnsi="Arial" w:cs="Arial"/>
          <w:kern w:val="0"/>
          <w14:ligatures w14:val="none"/>
        </w:rPr>
        <w:t>en</w:t>
      </w:r>
      <w:r>
        <w:rPr>
          <w:rFonts w:ascii="Arial" w:hAnsi="Arial" w:cs="Arial"/>
          <w:kern w:val="0"/>
          <w14:ligatures w14:val="none"/>
        </w:rPr>
        <w:t xml:space="preserve">tre 4 et </w:t>
      </w:r>
      <w:r w:rsidR="002E5CB2" w:rsidRPr="00C7394A">
        <w:rPr>
          <w:rFonts w:ascii="Arial" w:hAnsi="Arial" w:cs="Arial"/>
          <w:kern w:val="0"/>
          <w14:ligatures w14:val="none"/>
        </w:rPr>
        <w:t>6 jours</w:t>
      </w:r>
      <w:r>
        <w:rPr>
          <w:rFonts w:ascii="Arial" w:hAnsi="Arial" w:cs="Arial"/>
          <w:kern w:val="0"/>
          <w14:ligatures w14:val="none"/>
        </w:rPr>
        <w:t>, sur site et en distanciel.</w:t>
      </w:r>
      <w:r w:rsidR="002E5CB2" w:rsidRPr="00C7394A">
        <w:rPr>
          <w:rFonts w:ascii="Arial" w:hAnsi="Arial" w:cs="Arial"/>
          <w:kern w:val="0"/>
          <w14:ligatures w14:val="none"/>
        </w:rPr>
        <w:t xml:space="preserve"> </w:t>
      </w:r>
    </w:p>
    <w:p w14:paraId="31CAA02B" w14:textId="5042ACA7" w:rsidR="00173C95" w:rsidRDefault="00494674" w:rsidP="00CF1969">
      <w:pPr>
        <w:spacing w:after="120" w:line="256" w:lineRule="auto"/>
        <w:ind w:right="113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L</w:t>
      </w:r>
      <w:r w:rsidR="00173C95">
        <w:rPr>
          <w:rFonts w:ascii="Arial" w:hAnsi="Arial" w:cs="Arial"/>
          <w:kern w:val="0"/>
          <w14:ligatures w14:val="none"/>
        </w:rPr>
        <w:t>’accompagnement s’adresse aux directeurs, avec une participation de l’encadrement ou personnel en charge des plannings (cadre, IDEC…).</w:t>
      </w:r>
    </w:p>
    <w:p w14:paraId="22ED361D" w14:textId="456F6F0F" w:rsidR="001200DE" w:rsidRDefault="00173C95" w:rsidP="00CF1969">
      <w:pPr>
        <w:spacing w:after="120" w:line="256" w:lineRule="auto"/>
        <w:ind w:right="113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lastRenderedPageBreak/>
        <w:t>L’accompagnement se déclinera par :</w:t>
      </w:r>
    </w:p>
    <w:p w14:paraId="2222EF10" w14:textId="3A939B56" w:rsidR="00173C95" w:rsidRDefault="00173C95" w:rsidP="00173C95">
      <w:pPr>
        <w:pStyle w:val="Paragraphedeliste"/>
        <w:numPr>
          <w:ilvl w:val="0"/>
          <w:numId w:val="10"/>
        </w:numPr>
        <w:spacing w:after="120" w:line="256" w:lineRule="auto"/>
        <w:ind w:right="113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Un cadrage </w:t>
      </w:r>
      <w:r w:rsidR="00494674">
        <w:rPr>
          <w:rFonts w:ascii="Arial" w:hAnsi="Arial" w:cs="Arial"/>
          <w:kern w:val="0"/>
          <w14:ligatures w14:val="none"/>
        </w:rPr>
        <w:t>de cet appui</w:t>
      </w:r>
      <w:r>
        <w:rPr>
          <w:rFonts w:ascii="Arial" w:hAnsi="Arial" w:cs="Arial"/>
          <w:kern w:val="0"/>
          <w14:ligatures w14:val="none"/>
        </w:rPr>
        <w:t xml:space="preserve">, la revue des documents mis à disposition </w:t>
      </w:r>
      <w:r w:rsidR="00494674">
        <w:rPr>
          <w:rFonts w:ascii="Arial" w:hAnsi="Arial" w:cs="Arial"/>
          <w:kern w:val="0"/>
          <w14:ligatures w14:val="none"/>
        </w:rPr>
        <w:t>-</w:t>
      </w:r>
      <w:r>
        <w:rPr>
          <w:rFonts w:ascii="Arial" w:hAnsi="Arial" w:cs="Arial"/>
          <w:kern w:val="0"/>
          <w14:ligatures w14:val="none"/>
        </w:rPr>
        <w:t>transmis lors du dépôt de candidature et à compléter le cas échéant</w:t>
      </w:r>
    </w:p>
    <w:p w14:paraId="111CD834" w14:textId="1E133E56" w:rsidR="00173C95" w:rsidRDefault="00173C95" w:rsidP="00173C95">
      <w:pPr>
        <w:pStyle w:val="Paragraphedeliste"/>
        <w:numPr>
          <w:ilvl w:val="0"/>
          <w:numId w:val="10"/>
        </w:numPr>
        <w:spacing w:after="120" w:line="256" w:lineRule="auto"/>
        <w:ind w:right="113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Une analyse réglementaire, des effectifs et de l’organisation</w:t>
      </w:r>
    </w:p>
    <w:p w14:paraId="04F4C419" w14:textId="3CD49557" w:rsidR="00173C95" w:rsidRDefault="00173C95" w:rsidP="00173C95">
      <w:pPr>
        <w:pStyle w:val="Paragraphedeliste"/>
        <w:numPr>
          <w:ilvl w:val="0"/>
          <w:numId w:val="10"/>
        </w:numPr>
        <w:spacing w:after="120" w:line="256" w:lineRule="auto"/>
        <w:ind w:right="113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Des travaux dirigés contextualisés/atelier organisationnel</w:t>
      </w:r>
    </w:p>
    <w:p w14:paraId="77C3D4D2" w14:textId="797B883D" w:rsidR="00963710" w:rsidRPr="00963710" w:rsidRDefault="00963710" w:rsidP="007456F4">
      <w:pPr>
        <w:pStyle w:val="Paragraphedeliste"/>
        <w:numPr>
          <w:ilvl w:val="0"/>
          <w:numId w:val="10"/>
        </w:numPr>
        <w:spacing w:after="120" w:line="256" w:lineRule="auto"/>
        <w:ind w:right="113"/>
        <w:jc w:val="both"/>
        <w:rPr>
          <w:rFonts w:ascii="Arial" w:hAnsi="Arial" w:cs="Arial"/>
          <w:kern w:val="0"/>
          <w14:ligatures w14:val="none"/>
        </w:rPr>
      </w:pPr>
      <w:r w:rsidRPr="00963710">
        <w:rPr>
          <w:rFonts w:ascii="Arial" w:hAnsi="Arial" w:cs="Arial"/>
          <w:kern w:val="0"/>
          <w14:ligatures w14:val="none"/>
        </w:rPr>
        <w:t>La mise à jour des maquettes et plan d’action</w:t>
      </w:r>
      <w:r w:rsidR="006A1AF1">
        <w:rPr>
          <w:rFonts w:ascii="Arial" w:hAnsi="Arial" w:cs="Arial"/>
          <w:kern w:val="0"/>
          <w14:ligatures w14:val="none"/>
        </w:rPr>
        <w:t>s</w:t>
      </w:r>
      <w:r w:rsidRPr="00963710">
        <w:rPr>
          <w:rFonts w:ascii="Arial" w:hAnsi="Arial" w:cs="Arial"/>
          <w:kern w:val="0"/>
          <w14:ligatures w14:val="none"/>
        </w:rPr>
        <w:t>/scénarii</w:t>
      </w:r>
    </w:p>
    <w:p w14:paraId="4590568C" w14:textId="2D777029" w:rsidR="00963710" w:rsidRDefault="00963710" w:rsidP="00173C95">
      <w:pPr>
        <w:pStyle w:val="Paragraphedeliste"/>
        <w:numPr>
          <w:ilvl w:val="0"/>
          <w:numId w:val="10"/>
        </w:numPr>
        <w:spacing w:after="120" w:line="256" w:lineRule="auto"/>
        <w:ind w:right="113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Vérification des scénarii et ajustements</w:t>
      </w:r>
      <w:r w:rsidR="00494674">
        <w:rPr>
          <w:rFonts w:ascii="Arial" w:hAnsi="Arial" w:cs="Arial"/>
          <w:kern w:val="0"/>
          <w14:ligatures w14:val="none"/>
        </w:rPr>
        <w:t>, suivi de tableau ETP</w:t>
      </w:r>
    </w:p>
    <w:p w14:paraId="7E138F74" w14:textId="53ACA6C0" w:rsidR="00A93C2C" w:rsidRPr="006A1AF1" w:rsidRDefault="006A1AF1" w:rsidP="00A93C2C">
      <w:pPr>
        <w:pStyle w:val="Paragraphedeliste"/>
        <w:numPr>
          <w:ilvl w:val="0"/>
          <w:numId w:val="10"/>
        </w:numPr>
        <w:spacing w:after="120" w:line="256" w:lineRule="auto"/>
        <w:ind w:right="113"/>
        <w:jc w:val="both"/>
        <w:rPr>
          <w:rFonts w:ascii="Arial" w:hAnsi="Arial" w:cs="Arial"/>
          <w:kern w:val="0"/>
          <w14:ligatures w14:val="none"/>
        </w:rPr>
      </w:pPr>
      <w:r w:rsidRPr="006A1AF1">
        <w:rPr>
          <w:rFonts w:ascii="Arial" w:hAnsi="Arial" w:cs="Arial"/>
          <w:kern w:val="0"/>
          <w14:ligatures w14:val="none"/>
        </w:rPr>
        <w:t xml:space="preserve">La proposition </w:t>
      </w:r>
      <w:r w:rsidR="00A93C2C" w:rsidRPr="006A1AF1">
        <w:rPr>
          <w:rFonts w:ascii="Arial" w:hAnsi="Arial" w:cs="Arial"/>
          <w:kern w:val="0"/>
          <w14:ligatures w14:val="none"/>
        </w:rPr>
        <w:t>de cycle</w:t>
      </w:r>
      <w:r w:rsidRPr="006A1AF1">
        <w:rPr>
          <w:rFonts w:ascii="Arial" w:hAnsi="Arial" w:cs="Arial"/>
          <w:kern w:val="0"/>
          <w14:ligatures w14:val="none"/>
        </w:rPr>
        <w:t>s</w:t>
      </w:r>
      <w:r w:rsidR="00A93C2C" w:rsidRPr="006A1AF1">
        <w:rPr>
          <w:rFonts w:ascii="Arial" w:hAnsi="Arial" w:cs="Arial"/>
          <w:kern w:val="0"/>
          <w14:ligatures w14:val="none"/>
        </w:rPr>
        <w:t xml:space="preserve"> de travail à l’issue de l’accompagnement</w:t>
      </w:r>
    </w:p>
    <w:p w14:paraId="34B0670E" w14:textId="77777777" w:rsidR="00494674" w:rsidRDefault="00494674" w:rsidP="00494674">
      <w:pPr>
        <w:pStyle w:val="Paragraphedeliste"/>
        <w:spacing w:after="120" w:line="256" w:lineRule="auto"/>
        <w:ind w:right="113"/>
        <w:jc w:val="both"/>
        <w:rPr>
          <w:rFonts w:ascii="Arial" w:hAnsi="Arial" w:cs="Arial"/>
          <w:kern w:val="0"/>
          <w14:ligatures w14:val="none"/>
        </w:rPr>
      </w:pPr>
    </w:p>
    <w:p w14:paraId="18A65AD6" w14:textId="30C79CE7" w:rsidR="00494674" w:rsidRPr="00DE1309" w:rsidRDefault="00494674" w:rsidP="00DE1309">
      <w:pPr>
        <w:spacing w:after="120" w:line="256" w:lineRule="auto"/>
        <w:ind w:right="113"/>
        <w:jc w:val="both"/>
        <w:rPr>
          <w:rFonts w:ascii="Arial" w:hAnsi="Arial" w:cs="Arial"/>
          <w:kern w:val="0"/>
          <w14:ligatures w14:val="none"/>
        </w:rPr>
      </w:pPr>
      <w:r w:rsidRPr="00DE1309">
        <w:rPr>
          <w:rFonts w:ascii="Arial" w:hAnsi="Arial" w:cs="Arial"/>
          <w:kern w:val="0"/>
          <w14:ligatures w14:val="none"/>
        </w:rPr>
        <w:t xml:space="preserve">Des supports de formation et outils seront mis à disposition. </w:t>
      </w:r>
    </w:p>
    <w:p w14:paraId="11AAACAF" w14:textId="77777777" w:rsidR="00494674" w:rsidRPr="00173C95" w:rsidRDefault="00494674" w:rsidP="00494674">
      <w:pPr>
        <w:pStyle w:val="Paragraphedeliste"/>
        <w:spacing w:after="120" w:line="256" w:lineRule="auto"/>
        <w:ind w:right="113"/>
        <w:jc w:val="both"/>
        <w:rPr>
          <w:rFonts w:ascii="Arial" w:hAnsi="Arial" w:cs="Arial"/>
          <w:kern w:val="0"/>
          <w14:ligatures w14:val="none"/>
        </w:rPr>
      </w:pPr>
    </w:p>
    <w:p w14:paraId="39D8D266" w14:textId="49435FE7" w:rsidR="00EF4DEF" w:rsidRPr="00C7394A" w:rsidRDefault="00EF4DEF" w:rsidP="002033FC">
      <w:pPr>
        <w:jc w:val="both"/>
        <w:rPr>
          <w:rFonts w:ascii="Arial" w:hAnsi="Arial" w:cs="Arial"/>
          <w:b/>
          <w:bCs/>
        </w:rPr>
      </w:pPr>
      <w:r w:rsidRPr="00C7394A">
        <w:rPr>
          <w:rFonts w:ascii="Arial" w:hAnsi="Arial" w:cs="Arial"/>
          <w:b/>
          <w:bCs/>
        </w:rPr>
        <w:t>Modalités financières :</w:t>
      </w:r>
    </w:p>
    <w:p w14:paraId="5E284A8D" w14:textId="5492B0FF" w:rsidR="00F17368" w:rsidRDefault="00841C71" w:rsidP="002033FC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Pour des raisons budgétaires et de méthodologie, l’ARS choisit le ou les prestataires</w:t>
      </w:r>
      <w:r w:rsidR="00C749DF">
        <w:rPr>
          <w:rFonts w:ascii="Arial" w:hAnsi="Arial" w:cs="Arial"/>
        </w:rPr>
        <w:t xml:space="preserve"> pour mettre en place cet accompagnement. La prise en charge sera partagée entre l’ARS et les EHPAD. La contribution par EHPAD sera au maximum de 1500 euros TTC.</w:t>
      </w:r>
    </w:p>
    <w:p w14:paraId="3B3DBA99" w14:textId="77777777" w:rsidR="009C4436" w:rsidRPr="00C7394A" w:rsidRDefault="009C4436" w:rsidP="002033FC">
      <w:pPr>
        <w:jc w:val="both"/>
        <w:rPr>
          <w:rFonts w:ascii="Arial" w:hAnsi="Arial" w:cs="Arial"/>
        </w:rPr>
      </w:pPr>
    </w:p>
    <w:p w14:paraId="1C5F8887" w14:textId="6D39E061" w:rsidR="002033FC" w:rsidRPr="00C7394A" w:rsidRDefault="00C7394A" w:rsidP="002033FC">
      <w:pPr>
        <w:jc w:val="both"/>
        <w:rPr>
          <w:rFonts w:ascii="Arial" w:hAnsi="Arial" w:cs="Arial"/>
          <w:b/>
          <w:bCs/>
        </w:rPr>
      </w:pPr>
      <w:bookmarkStart w:id="1" w:name="_Hlk199753478"/>
      <w:r>
        <w:rPr>
          <w:rFonts w:ascii="Arial" w:hAnsi="Arial" w:cs="Arial"/>
          <w:b/>
          <w:bCs/>
        </w:rPr>
        <w:t>4.COMPOSITION ATTENDUE DU D</w:t>
      </w:r>
      <w:r w:rsidR="00000599" w:rsidRPr="00C7394A">
        <w:rPr>
          <w:rFonts w:ascii="Arial" w:hAnsi="Arial" w:cs="Arial"/>
          <w:b/>
          <w:bCs/>
        </w:rPr>
        <w:t>OSSIER DE CANDIDATURE </w:t>
      </w:r>
    </w:p>
    <w:bookmarkEnd w:id="1"/>
    <w:p w14:paraId="4B272710" w14:textId="05B58802" w:rsidR="00000599" w:rsidRPr="00C7394A" w:rsidRDefault="008F5CB7" w:rsidP="006A1AF1">
      <w:pPr>
        <w:jc w:val="both"/>
        <w:rPr>
          <w:rFonts w:ascii="Arial" w:hAnsi="Arial" w:cs="Arial"/>
        </w:rPr>
      </w:pPr>
      <w:r w:rsidRPr="00C7394A">
        <w:rPr>
          <w:rFonts w:ascii="Arial" w:hAnsi="Arial" w:cs="Arial"/>
        </w:rPr>
        <w:t>Le dossier</w:t>
      </w:r>
      <w:r w:rsidR="00C7394A" w:rsidRPr="00C7394A">
        <w:rPr>
          <w:rFonts w:ascii="Arial" w:hAnsi="Arial" w:cs="Arial"/>
        </w:rPr>
        <w:t xml:space="preserve"> doit être constitué d’une note décrivant le c</w:t>
      </w:r>
      <w:r w:rsidR="00EF4DEF" w:rsidRPr="00C7394A">
        <w:rPr>
          <w:rFonts w:ascii="Arial" w:hAnsi="Arial" w:cs="Arial"/>
        </w:rPr>
        <w:t>ontexte et motivation de la candidature</w:t>
      </w:r>
      <w:r w:rsidR="00C7394A">
        <w:rPr>
          <w:rFonts w:ascii="Arial" w:hAnsi="Arial" w:cs="Arial"/>
        </w:rPr>
        <w:t xml:space="preserve"> et comport</w:t>
      </w:r>
      <w:r w:rsidR="00F17368">
        <w:rPr>
          <w:rFonts w:ascii="Arial" w:hAnsi="Arial" w:cs="Arial"/>
        </w:rPr>
        <w:t>er</w:t>
      </w:r>
      <w:r w:rsidR="00C7394A">
        <w:rPr>
          <w:rFonts w:ascii="Arial" w:hAnsi="Arial" w:cs="Arial"/>
        </w:rPr>
        <w:t xml:space="preserve"> les éléments suivants :</w:t>
      </w:r>
    </w:p>
    <w:p w14:paraId="377D1DD9" w14:textId="202F67AE" w:rsidR="000A18E1" w:rsidRPr="00C7394A" w:rsidRDefault="000A18E1" w:rsidP="006A1AF1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C7394A">
        <w:rPr>
          <w:rFonts w:ascii="Arial" w:hAnsi="Arial" w:cs="Arial"/>
        </w:rPr>
        <w:t>Eléments budgétaires : CAF,</w:t>
      </w:r>
      <w:r w:rsidR="00F17368">
        <w:rPr>
          <w:rFonts w:ascii="Arial" w:hAnsi="Arial" w:cs="Arial"/>
        </w:rPr>
        <w:t xml:space="preserve"> </w:t>
      </w:r>
      <w:r w:rsidRPr="00C7394A">
        <w:rPr>
          <w:rFonts w:ascii="Arial" w:hAnsi="Arial" w:cs="Arial"/>
        </w:rPr>
        <w:t>EPRD RH, ERRD RH</w:t>
      </w:r>
    </w:p>
    <w:p w14:paraId="2799C28D" w14:textId="75C320AB" w:rsidR="000A18E1" w:rsidRPr="00C7394A" w:rsidRDefault="000A18E1" w:rsidP="006A1AF1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C7394A">
        <w:rPr>
          <w:rFonts w:ascii="Arial" w:hAnsi="Arial" w:cs="Arial"/>
        </w:rPr>
        <w:t>Données d’activité : TO, GMP, Pathos, dépendance</w:t>
      </w:r>
    </w:p>
    <w:p w14:paraId="4BBC4793" w14:textId="56E391EC" w:rsidR="000A18E1" w:rsidRPr="00C7394A" w:rsidRDefault="000A18E1" w:rsidP="006A1AF1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C7394A">
        <w:rPr>
          <w:rFonts w:ascii="Arial" w:hAnsi="Arial" w:cs="Arial"/>
        </w:rPr>
        <w:t>Accords sociaux temps de travail applicables : convention collective, accord local…</w:t>
      </w:r>
    </w:p>
    <w:p w14:paraId="3F9E3DA3" w14:textId="0D8CEA4A" w:rsidR="000A18E1" w:rsidRPr="00C7394A" w:rsidRDefault="000A18E1" w:rsidP="006A1AF1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C7394A">
        <w:rPr>
          <w:rFonts w:ascii="Arial" w:hAnsi="Arial" w:cs="Arial"/>
        </w:rPr>
        <w:t>Données RH : obligation annuelle de travail en vigueur dans la structure, taux d’absentéisme, taux de remplacement des absences</w:t>
      </w:r>
    </w:p>
    <w:p w14:paraId="32538699" w14:textId="7CC89ACB" w:rsidR="00CB79B7" w:rsidRDefault="00CB79B7" w:rsidP="006A1AF1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Attestation sur l’honneur </w:t>
      </w:r>
      <w:r w:rsidR="00C749DF">
        <w:rPr>
          <w:rFonts w:ascii="Arial" w:hAnsi="Arial" w:cs="Arial"/>
        </w:rPr>
        <w:t xml:space="preserve">précisant si un </w:t>
      </w:r>
      <w:r>
        <w:rPr>
          <w:rFonts w:ascii="Arial" w:hAnsi="Arial" w:cs="Arial"/>
        </w:rPr>
        <w:t>accompagnement depuis 2 ans sur les maquettes organisationnelles et gestion du temps de travail des personnels</w:t>
      </w:r>
      <w:r w:rsidR="001200DE">
        <w:rPr>
          <w:rFonts w:ascii="Arial" w:hAnsi="Arial" w:cs="Arial"/>
        </w:rPr>
        <w:t xml:space="preserve"> a eu lieu</w:t>
      </w:r>
    </w:p>
    <w:p w14:paraId="2BE8F45E" w14:textId="77777777" w:rsidR="00C749DF" w:rsidRDefault="00C749DF" w:rsidP="006A1AF1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C7394A">
        <w:rPr>
          <w:rFonts w:ascii="Arial" w:hAnsi="Arial" w:cs="Arial"/>
        </w:rPr>
        <w:t>Annexe à compléter.</w:t>
      </w:r>
    </w:p>
    <w:p w14:paraId="15619733" w14:textId="77777777" w:rsidR="006759E1" w:rsidRPr="00C7394A" w:rsidRDefault="006759E1" w:rsidP="006759E1">
      <w:pPr>
        <w:pStyle w:val="Paragraphedeliste"/>
        <w:jc w:val="both"/>
        <w:rPr>
          <w:rFonts w:ascii="Arial" w:hAnsi="Arial" w:cs="Arial"/>
        </w:rPr>
      </w:pPr>
    </w:p>
    <w:p w14:paraId="71B9F538" w14:textId="77777777" w:rsidR="00C7394A" w:rsidRDefault="00C7394A" w:rsidP="002033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5.MODALITES DE DEPOT D’INSTRUCTION</w:t>
      </w:r>
    </w:p>
    <w:p w14:paraId="157BECA9" w14:textId="0B4CDE80" w:rsidR="00C7394A" w:rsidRPr="006759E1" w:rsidRDefault="00C7394A" w:rsidP="002033FC">
      <w:pPr>
        <w:jc w:val="both"/>
        <w:rPr>
          <w:rFonts w:ascii="Arial" w:hAnsi="Arial" w:cs="Arial"/>
        </w:rPr>
      </w:pPr>
      <w:r w:rsidRPr="006759E1">
        <w:rPr>
          <w:rFonts w:ascii="Arial" w:hAnsi="Arial" w:cs="Arial"/>
        </w:rPr>
        <w:t>L’ouverture de la fenêtre de dépôt fait l</w:t>
      </w:r>
      <w:r w:rsidR="006E5F4B">
        <w:rPr>
          <w:rFonts w:ascii="Arial" w:hAnsi="Arial" w:cs="Arial"/>
        </w:rPr>
        <w:t>’</w:t>
      </w:r>
      <w:r w:rsidRPr="006759E1">
        <w:rPr>
          <w:rFonts w:ascii="Arial" w:hAnsi="Arial" w:cs="Arial"/>
        </w:rPr>
        <w:t>objet d’une publication sur</w:t>
      </w:r>
      <w:r w:rsidR="006759E1">
        <w:rPr>
          <w:rFonts w:ascii="Arial" w:hAnsi="Arial" w:cs="Arial"/>
        </w:rPr>
        <w:t xml:space="preserve"> </w:t>
      </w:r>
      <w:r w:rsidRPr="006759E1">
        <w:rPr>
          <w:rFonts w:ascii="Arial" w:hAnsi="Arial" w:cs="Arial"/>
        </w:rPr>
        <w:t>le site internet de</w:t>
      </w:r>
      <w:r>
        <w:rPr>
          <w:rFonts w:ascii="Arial" w:hAnsi="Arial" w:cs="Arial"/>
          <w:b/>
          <w:bCs/>
        </w:rPr>
        <w:t xml:space="preserve"> </w:t>
      </w:r>
      <w:r w:rsidRPr="006759E1">
        <w:rPr>
          <w:rFonts w:ascii="Arial" w:hAnsi="Arial" w:cs="Arial"/>
        </w:rPr>
        <w:t>l’Agence régionale de Santé (</w:t>
      </w:r>
      <w:hyperlink r:id="rId5" w:history="1">
        <w:r w:rsidR="00F17368" w:rsidRPr="00422CF1">
          <w:rPr>
            <w:rStyle w:val="Lienhypertexte"/>
            <w:rFonts w:ascii="Arial" w:hAnsi="Arial" w:cs="Arial"/>
          </w:rPr>
          <w:t>www.pays-de-la-loire.ars.sante.fr</w:t>
        </w:r>
      </w:hyperlink>
      <w:r w:rsidRPr="006759E1">
        <w:rPr>
          <w:rFonts w:ascii="Arial" w:hAnsi="Arial" w:cs="Arial"/>
        </w:rPr>
        <w:t>) dans la rubrique appel à candidatures.</w:t>
      </w:r>
    </w:p>
    <w:p w14:paraId="2A995BF8" w14:textId="08AD6293" w:rsidR="00EF4DEF" w:rsidRPr="006759E1" w:rsidRDefault="00D50242" w:rsidP="002033FC">
      <w:pPr>
        <w:jc w:val="both"/>
        <w:rPr>
          <w:rFonts w:ascii="Arial" w:hAnsi="Arial" w:cs="Arial"/>
        </w:rPr>
      </w:pPr>
      <w:r w:rsidRPr="006759E1">
        <w:rPr>
          <w:rFonts w:ascii="Arial" w:hAnsi="Arial" w:cs="Arial"/>
        </w:rPr>
        <w:t>E</w:t>
      </w:r>
      <w:r w:rsidR="008F5CB7" w:rsidRPr="006759E1">
        <w:rPr>
          <w:rFonts w:ascii="Arial" w:hAnsi="Arial" w:cs="Arial"/>
        </w:rPr>
        <w:t>nvoi par voie électronique AVANT LE </w:t>
      </w:r>
      <w:r w:rsidR="00C749DF">
        <w:rPr>
          <w:rFonts w:ascii="Arial" w:hAnsi="Arial" w:cs="Arial"/>
        </w:rPr>
        <w:t>31/08/2025</w:t>
      </w:r>
      <w:r w:rsidR="008F5CB7" w:rsidRPr="006759E1">
        <w:rPr>
          <w:rFonts w:ascii="Arial" w:hAnsi="Arial" w:cs="Arial"/>
        </w:rPr>
        <w:t xml:space="preserve"> à l’adresse suivante</w:t>
      </w:r>
    </w:p>
    <w:p w14:paraId="3E736927" w14:textId="6C65F34B" w:rsidR="00000599" w:rsidRPr="00C7394A" w:rsidRDefault="00000599" w:rsidP="00EF4DEF">
      <w:pPr>
        <w:jc w:val="center"/>
        <w:rPr>
          <w:rFonts w:ascii="Arial" w:hAnsi="Arial" w:cs="Arial"/>
        </w:rPr>
      </w:pPr>
      <w:r w:rsidRPr="00C7394A">
        <w:rPr>
          <w:rFonts w:ascii="Arial" w:hAnsi="Arial" w:cs="Arial"/>
          <w:u w:val="single"/>
        </w:rPr>
        <w:t>Candidature à envoyer à </w:t>
      </w:r>
      <w:r w:rsidRPr="00C7394A">
        <w:rPr>
          <w:rFonts w:ascii="Arial" w:hAnsi="Arial" w:cs="Arial"/>
        </w:rPr>
        <w:t xml:space="preserve">: </w:t>
      </w:r>
      <w:hyperlink r:id="rId6" w:history="1">
        <w:r w:rsidR="008F5CB7" w:rsidRPr="00C7394A">
          <w:rPr>
            <w:rStyle w:val="Lienhypertexte"/>
            <w:rFonts w:ascii="Arial" w:hAnsi="Arial" w:cs="Arial"/>
          </w:rPr>
          <w:t>ARS-PDL-DOS-RHS@ars.sante.fr</w:t>
        </w:r>
      </w:hyperlink>
    </w:p>
    <w:p w14:paraId="4CF79F44" w14:textId="743FC5AF" w:rsidR="00CF1969" w:rsidRPr="00C7394A" w:rsidRDefault="00CF1969" w:rsidP="00CF1969">
      <w:pPr>
        <w:jc w:val="both"/>
        <w:rPr>
          <w:rFonts w:ascii="Arial" w:hAnsi="Arial" w:cs="Arial"/>
          <w:b/>
          <w:bCs/>
        </w:rPr>
      </w:pPr>
      <w:r w:rsidRPr="00C7394A">
        <w:rPr>
          <w:rFonts w:ascii="Arial" w:hAnsi="Arial" w:cs="Arial"/>
          <w:b/>
          <w:bCs/>
        </w:rPr>
        <w:t>Calendrier :</w:t>
      </w:r>
    </w:p>
    <w:p w14:paraId="52A5C560" w14:textId="3B56FD82" w:rsidR="00CF1969" w:rsidRPr="00C7394A" w:rsidRDefault="00CF1969" w:rsidP="00CF1969">
      <w:pPr>
        <w:jc w:val="both"/>
        <w:rPr>
          <w:rFonts w:ascii="Arial" w:hAnsi="Arial" w:cs="Arial"/>
        </w:rPr>
      </w:pPr>
      <w:r w:rsidRPr="00C7394A">
        <w:rPr>
          <w:rFonts w:ascii="Arial" w:hAnsi="Arial" w:cs="Arial"/>
        </w:rPr>
        <w:t>Date de publication de la fenêtre de dépôt : </w:t>
      </w:r>
      <w:r w:rsidR="00C749DF">
        <w:rPr>
          <w:rFonts w:ascii="Arial" w:hAnsi="Arial" w:cs="Arial"/>
        </w:rPr>
        <w:t>25</w:t>
      </w:r>
      <w:r w:rsidRPr="00C7394A">
        <w:rPr>
          <w:rFonts w:ascii="Arial" w:hAnsi="Arial" w:cs="Arial"/>
        </w:rPr>
        <w:t xml:space="preserve"> juin 2025</w:t>
      </w:r>
    </w:p>
    <w:p w14:paraId="3C91CD44" w14:textId="420BD0EE" w:rsidR="00CF1969" w:rsidRPr="00C7394A" w:rsidRDefault="00CF1969" w:rsidP="00CF1969">
      <w:pPr>
        <w:jc w:val="both"/>
        <w:rPr>
          <w:rFonts w:ascii="Arial" w:hAnsi="Arial" w:cs="Arial"/>
        </w:rPr>
      </w:pPr>
      <w:r w:rsidRPr="00C7394A">
        <w:rPr>
          <w:rFonts w:ascii="Arial" w:hAnsi="Arial" w:cs="Arial"/>
        </w:rPr>
        <w:t>Fenêtre de dépôt des projets : du </w:t>
      </w:r>
      <w:r w:rsidR="00C749DF">
        <w:rPr>
          <w:rFonts w:ascii="Arial" w:hAnsi="Arial" w:cs="Arial"/>
        </w:rPr>
        <w:t>25</w:t>
      </w:r>
      <w:r w:rsidRPr="00C7394A">
        <w:rPr>
          <w:rFonts w:ascii="Arial" w:hAnsi="Arial" w:cs="Arial"/>
        </w:rPr>
        <w:t xml:space="preserve"> juin au </w:t>
      </w:r>
      <w:r w:rsidR="00C749DF">
        <w:rPr>
          <w:rFonts w:ascii="Arial" w:hAnsi="Arial" w:cs="Arial"/>
        </w:rPr>
        <w:t>31</w:t>
      </w:r>
      <w:r w:rsidRPr="00C7394A">
        <w:rPr>
          <w:rFonts w:ascii="Arial" w:hAnsi="Arial" w:cs="Arial"/>
        </w:rPr>
        <w:t>/0</w:t>
      </w:r>
      <w:r w:rsidR="00C749DF">
        <w:rPr>
          <w:rFonts w:ascii="Arial" w:hAnsi="Arial" w:cs="Arial"/>
        </w:rPr>
        <w:t>8</w:t>
      </w:r>
      <w:r w:rsidRPr="00C7394A">
        <w:rPr>
          <w:rFonts w:ascii="Arial" w:hAnsi="Arial" w:cs="Arial"/>
        </w:rPr>
        <w:t>/25</w:t>
      </w:r>
    </w:p>
    <w:p w14:paraId="407C77EE" w14:textId="4FBD2C2D" w:rsidR="00CF1969" w:rsidRPr="00C7394A" w:rsidRDefault="00CF1969" w:rsidP="00CF1969">
      <w:pPr>
        <w:jc w:val="both"/>
        <w:rPr>
          <w:rFonts w:ascii="Arial" w:hAnsi="Arial" w:cs="Arial"/>
        </w:rPr>
      </w:pPr>
      <w:r w:rsidRPr="00C7394A">
        <w:rPr>
          <w:rFonts w:ascii="Arial" w:hAnsi="Arial" w:cs="Arial"/>
        </w:rPr>
        <w:t xml:space="preserve">Sélection, validation et notification des candidatures : </w:t>
      </w:r>
      <w:r w:rsidR="00C749DF">
        <w:rPr>
          <w:rFonts w:ascii="Arial" w:hAnsi="Arial" w:cs="Arial"/>
        </w:rPr>
        <w:t>mi</w:t>
      </w:r>
      <w:r w:rsidR="00F665B1">
        <w:rPr>
          <w:rFonts w:ascii="Arial" w:hAnsi="Arial" w:cs="Arial"/>
        </w:rPr>
        <w:t>-</w:t>
      </w:r>
      <w:r w:rsidR="00C749DF">
        <w:rPr>
          <w:rFonts w:ascii="Arial" w:hAnsi="Arial" w:cs="Arial"/>
        </w:rPr>
        <w:t>septembre</w:t>
      </w:r>
    </w:p>
    <w:p w14:paraId="0211B138" w14:textId="58D2A309" w:rsidR="00CF1969" w:rsidRPr="00C7394A" w:rsidRDefault="00CF1969" w:rsidP="00CF1969">
      <w:pPr>
        <w:jc w:val="both"/>
        <w:rPr>
          <w:rFonts w:ascii="Arial" w:hAnsi="Arial" w:cs="Arial"/>
        </w:rPr>
      </w:pPr>
      <w:r w:rsidRPr="00C7394A">
        <w:rPr>
          <w:rFonts w:ascii="Arial" w:hAnsi="Arial" w:cs="Arial"/>
        </w:rPr>
        <w:t>Mise en œuvre : à partir d</w:t>
      </w:r>
      <w:r w:rsidR="00C749DF">
        <w:rPr>
          <w:rFonts w:ascii="Arial" w:hAnsi="Arial" w:cs="Arial"/>
        </w:rPr>
        <w:t>’octobre</w:t>
      </w:r>
      <w:r w:rsidRPr="00C7394A">
        <w:rPr>
          <w:rFonts w:ascii="Arial" w:hAnsi="Arial" w:cs="Arial"/>
        </w:rPr>
        <w:t xml:space="preserve"> 2025</w:t>
      </w:r>
    </w:p>
    <w:p w14:paraId="3A6A3B8B" w14:textId="579428B3" w:rsidR="009C4436" w:rsidRPr="00C7394A" w:rsidRDefault="00C7394A" w:rsidP="006A1A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Pr="00C7394A">
        <w:rPr>
          <w:rFonts w:ascii="Arial" w:hAnsi="Arial" w:cs="Arial"/>
        </w:rPr>
        <w:t>Agence Régionale de Santé des Pays de la Loire</w:t>
      </w:r>
      <w:r>
        <w:rPr>
          <w:rFonts w:ascii="Arial" w:hAnsi="Arial" w:cs="Arial"/>
        </w:rPr>
        <w:t xml:space="preserve"> accusera réception par mail des candidatures déposées. Tout dossier réceptionné </w:t>
      </w:r>
      <w:r w:rsidR="00F17368" w:rsidRPr="00CB79B7">
        <w:rPr>
          <w:rFonts w:ascii="Arial" w:hAnsi="Arial" w:cs="Arial"/>
        </w:rPr>
        <w:t xml:space="preserve">incomplet ou </w:t>
      </w:r>
      <w:r>
        <w:rPr>
          <w:rFonts w:ascii="Arial" w:hAnsi="Arial" w:cs="Arial"/>
        </w:rPr>
        <w:t>hors délai ne sera pas instruit.</w:t>
      </w:r>
    </w:p>
    <w:sectPr w:rsidR="009C4436" w:rsidRPr="00C73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2B06"/>
    <w:multiLevelType w:val="hybridMultilevel"/>
    <w:tmpl w:val="8BDE5BE2"/>
    <w:lvl w:ilvl="0" w:tplc="644A04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302D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2866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7E5A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61E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6A4B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8CC0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0429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A858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92003"/>
    <w:multiLevelType w:val="hybridMultilevel"/>
    <w:tmpl w:val="40600A96"/>
    <w:lvl w:ilvl="0" w:tplc="2EA02D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76613"/>
    <w:multiLevelType w:val="hybridMultilevel"/>
    <w:tmpl w:val="4E660A00"/>
    <w:lvl w:ilvl="0" w:tplc="0C8E03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EE99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7EC1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E95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647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2EC4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478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BCB9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ECCA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634C1"/>
    <w:multiLevelType w:val="hybridMultilevel"/>
    <w:tmpl w:val="36EA3C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9335B"/>
    <w:multiLevelType w:val="hybridMultilevel"/>
    <w:tmpl w:val="6F98B180"/>
    <w:lvl w:ilvl="0" w:tplc="4444793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/>
        <w:color w:val="00918E"/>
        <w:sz w:val="20"/>
        <w:szCs w:val="22"/>
        <w:u w:color="990033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155FF"/>
    <w:multiLevelType w:val="hybridMultilevel"/>
    <w:tmpl w:val="AB56A15C"/>
    <w:lvl w:ilvl="0" w:tplc="B32C1C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96F1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FCE0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6688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221D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208E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CF2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8BF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240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16A6"/>
    <w:multiLevelType w:val="hybridMultilevel"/>
    <w:tmpl w:val="8D3A757E"/>
    <w:lvl w:ilvl="0" w:tplc="898E8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C2445"/>
    <w:multiLevelType w:val="hybridMultilevel"/>
    <w:tmpl w:val="DCFA09D0"/>
    <w:lvl w:ilvl="0" w:tplc="79A416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A56BE"/>
    <w:multiLevelType w:val="hybridMultilevel"/>
    <w:tmpl w:val="52DEA1C8"/>
    <w:lvl w:ilvl="0" w:tplc="68026E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971BC"/>
    <w:multiLevelType w:val="hybridMultilevel"/>
    <w:tmpl w:val="F708A764"/>
    <w:lvl w:ilvl="0" w:tplc="4444793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b/>
        <w:color w:val="00918E"/>
        <w:sz w:val="20"/>
        <w:szCs w:val="22"/>
        <w:u w:color="990033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783963">
    <w:abstractNumId w:val="5"/>
  </w:num>
  <w:num w:numId="2" w16cid:durableId="659119077">
    <w:abstractNumId w:val="0"/>
  </w:num>
  <w:num w:numId="3" w16cid:durableId="314066750">
    <w:abstractNumId w:val="2"/>
  </w:num>
  <w:num w:numId="4" w16cid:durableId="9987303">
    <w:abstractNumId w:val="7"/>
  </w:num>
  <w:num w:numId="5" w16cid:durableId="611127447">
    <w:abstractNumId w:val="4"/>
  </w:num>
  <w:num w:numId="6" w16cid:durableId="2049841358">
    <w:abstractNumId w:val="9"/>
  </w:num>
  <w:num w:numId="7" w16cid:durableId="1697458856">
    <w:abstractNumId w:val="8"/>
  </w:num>
  <w:num w:numId="8" w16cid:durableId="2098867523">
    <w:abstractNumId w:val="1"/>
  </w:num>
  <w:num w:numId="9" w16cid:durableId="1729452865">
    <w:abstractNumId w:val="3"/>
  </w:num>
  <w:num w:numId="10" w16cid:durableId="536625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45"/>
    <w:rsid w:val="00000599"/>
    <w:rsid w:val="000A18E1"/>
    <w:rsid w:val="000D404A"/>
    <w:rsid w:val="001009E9"/>
    <w:rsid w:val="00106CE2"/>
    <w:rsid w:val="0010784E"/>
    <w:rsid w:val="001200DE"/>
    <w:rsid w:val="0012264A"/>
    <w:rsid w:val="00173C95"/>
    <w:rsid w:val="002033FC"/>
    <w:rsid w:val="002E5CB2"/>
    <w:rsid w:val="00393A34"/>
    <w:rsid w:val="003B08BD"/>
    <w:rsid w:val="00435C16"/>
    <w:rsid w:val="00494674"/>
    <w:rsid w:val="004A65AB"/>
    <w:rsid w:val="0058306A"/>
    <w:rsid w:val="00597A45"/>
    <w:rsid w:val="0062009B"/>
    <w:rsid w:val="006759E1"/>
    <w:rsid w:val="006A1AF1"/>
    <w:rsid w:val="006E5F4B"/>
    <w:rsid w:val="0081690D"/>
    <w:rsid w:val="00841C71"/>
    <w:rsid w:val="0087107C"/>
    <w:rsid w:val="008D6B43"/>
    <w:rsid w:val="008E7228"/>
    <w:rsid w:val="008F5CB7"/>
    <w:rsid w:val="00925C23"/>
    <w:rsid w:val="00963710"/>
    <w:rsid w:val="009A52C9"/>
    <w:rsid w:val="009C4436"/>
    <w:rsid w:val="00A10E47"/>
    <w:rsid w:val="00A93C2C"/>
    <w:rsid w:val="00AA39B2"/>
    <w:rsid w:val="00AB6622"/>
    <w:rsid w:val="00AC6A61"/>
    <w:rsid w:val="00B12867"/>
    <w:rsid w:val="00B958EE"/>
    <w:rsid w:val="00BB74E0"/>
    <w:rsid w:val="00BC640A"/>
    <w:rsid w:val="00C52A37"/>
    <w:rsid w:val="00C7394A"/>
    <w:rsid w:val="00C749DF"/>
    <w:rsid w:val="00C93612"/>
    <w:rsid w:val="00CB79B7"/>
    <w:rsid w:val="00CF1969"/>
    <w:rsid w:val="00D0270E"/>
    <w:rsid w:val="00D50242"/>
    <w:rsid w:val="00DA46D5"/>
    <w:rsid w:val="00DE1309"/>
    <w:rsid w:val="00E72229"/>
    <w:rsid w:val="00E92785"/>
    <w:rsid w:val="00EF4DEF"/>
    <w:rsid w:val="00F17368"/>
    <w:rsid w:val="00F6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511C"/>
  <w15:chartTrackingRefBased/>
  <w15:docId w15:val="{7B09473A-72E6-45F4-8A58-61B93C68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7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7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7A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7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7A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7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7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7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7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7A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7A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7A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7A4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7A4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7A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7A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7A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7A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7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7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7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7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7A45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597A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7A4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7A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7A4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7A45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2E5CB2"/>
  </w:style>
  <w:style w:type="table" w:styleId="TableauGrille4-Accentuation1">
    <w:name w:val="Grid Table 4 Accent 1"/>
    <w:basedOn w:val="TableauNormal"/>
    <w:uiPriority w:val="49"/>
    <w:rsid w:val="002E5CB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">
    <w:name w:val="TableGrid"/>
    <w:rsid w:val="002E5CB2"/>
    <w:pPr>
      <w:spacing w:after="0" w:line="240" w:lineRule="auto"/>
    </w:pPr>
    <w:rPr>
      <w:rFonts w:eastAsiaTheme="minorEastAsia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8F5C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5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359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287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400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384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4462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049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549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2462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255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933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267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S-PDL-DOS-RHS@ars.sante.fr" TargetMode="External"/><Relationship Id="rId5" Type="http://schemas.openxmlformats.org/officeDocument/2006/relationships/hyperlink" Target="http://www.pays-de-la-loire.ars.sant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FUZEAU, Christine (ARS-PDL/DOS/RHS)</dc:creator>
  <cp:keywords/>
  <dc:description/>
  <cp:lastModifiedBy>GRAVOUIL, Lucie (ARS-PDL/DG/CAB/COM)</cp:lastModifiedBy>
  <cp:revision>2</cp:revision>
  <cp:lastPrinted>2025-06-02T13:11:00Z</cp:lastPrinted>
  <dcterms:created xsi:type="dcterms:W3CDTF">2025-06-24T13:43:00Z</dcterms:created>
  <dcterms:modified xsi:type="dcterms:W3CDTF">2025-06-24T13:43:00Z</dcterms:modified>
</cp:coreProperties>
</file>