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6557B">
        <w:trPr>
          <w:trHeight w:val="893"/>
        </w:trPr>
        <w:tc>
          <w:tcPr>
            <w:tcW w:w="9288" w:type="dxa"/>
          </w:tcPr>
          <w:p w:rsidR="0046557B" w:rsidRDefault="0046557B">
            <w:pPr>
              <w:jc w:val="center"/>
              <w:rPr>
                <w:rFonts w:ascii="Arial" w:hAnsi="Arial" w:cs="Arial"/>
              </w:rPr>
            </w:pPr>
          </w:p>
          <w:p w:rsidR="0046557B" w:rsidRDefault="005E662A" w:rsidP="00EA0213">
            <w:pPr>
              <w:jc w:val="center"/>
              <w:rPr>
                <w:rFonts w:ascii="Arial" w:hAnsi="Arial" w:cs="Arial"/>
                <w:b/>
                <w:bCs/>
                <w:sz w:val="28"/>
                <w:szCs w:val="28"/>
              </w:rPr>
            </w:pPr>
            <w:r>
              <w:rPr>
                <w:rFonts w:ascii="Arial" w:hAnsi="Arial" w:cs="Arial"/>
                <w:b/>
                <w:bCs/>
                <w:sz w:val="28"/>
                <w:szCs w:val="28"/>
              </w:rPr>
              <w:t>Le « Droit au Remords »</w:t>
            </w:r>
            <w:r w:rsidR="002C5D86">
              <w:rPr>
                <w:rFonts w:ascii="Arial" w:hAnsi="Arial" w:cs="Arial"/>
                <w:b/>
                <w:bCs/>
                <w:sz w:val="28"/>
                <w:szCs w:val="28"/>
              </w:rPr>
              <w:t xml:space="preserve"> (DAR)</w:t>
            </w:r>
            <w:r>
              <w:rPr>
                <w:rFonts w:ascii="Arial" w:hAnsi="Arial" w:cs="Arial"/>
                <w:b/>
                <w:bCs/>
                <w:sz w:val="28"/>
                <w:szCs w:val="28"/>
              </w:rPr>
              <w:t xml:space="preserve"> : La procédure </w:t>
            </w:r>
            <w:r w:rsidR="00EA0213">
              <w:rPr>
                <w:rFonts w:ascii="Arial" w:hAnsi="Arial" w:cs="Arial"/>
                <w:b/>
                <w:bCs/>
                <w:sz w:val="28"/>
                <w:szCs w:val="28"/>
              </w:rPr>
              <w:t>classique</w:t>
            </w:r>
          </w:p>
        </w:tc>
      </w:tr>
    </w:tbl>
    <w:p w:rsidR="0046557B" w:rsidRPr="00B2152C" w:rsidRDefault="005E662A">
      <w:pPr>
        <w:spacing w:before="100" w:beforeAutospacing="1" w:after="100" w:afterAutospacing="1"/>
        <w:jc w:val="both"/>
        <w:rPr>
          <w:rFonts w:ascii="Arial" w:hAnsi="Arial" w:cs="Arial"/>
          <w:b/>
          <w:bCs/>
          <w:sz w:val="20"/>
          <w:szCs w:val="20"/>
        </w:rPr>
      </w:pPr>
      <w:r>
        <w:rPr>
          <w:rFonts w:ascii="Arial" w:hAnsi="Arial" w:cs="Arial"/>
          <w:sz w:val="20"/>
          <w:szCs w:val="20"/>
        </w:rPr>
        <w:t xml:space="preserve">Exercer son « Droit au remords » consiste pour un Interne à demander à </w:t>
      </w:r>
      <w:r w:rsidRPr="00B2152C">
        <w:rPr>
          <w:rFonts w:ascii="Arial" w:hAnsi="Arial" w:cs="Arial"/>
          <w:b/>
          <w:bCs/>
          <w:sz w:val="20"/>
          <w:szCs w:val="20"/>
        </w:rPr>
        <w:t xml:space="preserve">CHANGER DEFINITIVEMENT DE </w:t>
      </w:r>
      <w:r w:rsidR="00297018">
        <w:rPr>
          <w:rFonts w:ascii="Arial" w:hAnsi="Arial" w:cs="Arial"/>
          <w:b/>
          <w:bCs/>
          <w:sz w:val="20"/>
          <w:szCs w:val="20"/>
        </w:rPr>
        <w:t>S</w:t>
      </w:r>
      <w:r w:rsidR="007A470E">
        <w:rPr>
          <w:rFonts w:ascii="Arial" w:hAnsi="Arial" w:cs="Arial"/>
          <w:b/>
          <w:bCs/>
          <w:sz w:val="20"/>
          <w:szCs w:val="20"/>
        </w:rPr>
        <w:t>PECIALITE</w:t>
      </w:r>
    </w:p>
    <w:p w:rsidR="0046557B" w:rsidRDefault="005E662A">
      <w:pPr>
        <w:pBdr>
          <w:top w:val="single" w:sz="4" w:space="1" w:color="000000"/>
          <w:left w:val="single" w:sz="4" w:space="4" w:color="000000"/>
          <w:bottom w:val="single" w:sz="4" w:space="1" w:color="000000"/>
          <w:right w:val="single" w:sz="4" w:space="4" w:color="000000"/>
        </w:pBdr>
        <w:shd w:val="clear" w:color="auto" w:fill="FFFFFF"/>
        <w:jc w:val="both"/>
        <w:rPr>
          <w:rFonts w:ascii="Arial" w:hAnsi="Arial" w:cs="Arial"/>
          <w:sz w:val="20"/>
          <w:szCs w:val="20"/>
          <w:u w:val="single"/>
        </w:rPr>
      </w:pPr>
      <w:r>
        <w:rPr>
          <w:rFonts w:ascii="Arial" w:hAnsi="Arial" w:cs="Arial"/>
          <w:b/>
          <w:sz w:val="22"/>
          <w:szCs w:val="22"/>
        </w:rPr>
        <w:t>1.</w:t>
      </w:r>
      <w:r>
        <w:rPr>
          <w:rFonts w:ascii="Arial" w:hAnsi="Arial" w:cs="Arial"/>
          <w:b/>
          <w:sz w:val="22"/>
          <w:szCs w:val="22"/>
        </w:rPr>
        <w:tab/>
        <w:t xml:space="preserve">Dans quel cadre ? </w:t>
      </w:r>
    </w:p>
    <w:p w:rsidR="0046557B" w:rsidRDefault="005E662A">
      <w:pPr>
        <w:spacing w:before="100" w:beforeAutospacing="1" w:after="100" w:afterAutospacing="1"/>
        <w:rPr>
          <w:rFonts w:ascii="Arial" w:hAnsi="Arial" w:cs="Arial"/>
          <w:b/>
          <w:sz w:val="20"/>
          <w:szCs w:val="20"/>
        </w:rPr>
      </w:pPr>
      <w:r>
        <w:rPr>
          <w:rFonts w:ascii="Arial" w:hAnsi="Arial" w:cs="Arial"/>
          <w:b/>
          <w:sz w:val="20"/>
          <w:szCs w:val="20"/>
        </w:rPr>
        <w:t xml:space="preserve">1.1. Dispositions générales : </w:t>
      </w:r>
    </w:p>
    <w:p w:rsidR="00F46C36" w:rsidRDefault="005E662A" w:rsidP="00F46C36">
      <w:pPr>
        <w:pStyle w:val="NormalWeb"/>
        <w:spacing w:before="0" w:beforeAutospacing="0" w:after="0" w:afterAutospacing="0"/>
        <w:ind w:firstLine="709"/>
        <w:jc w:val="both"/>
        <w:rPr>
          <w:rFonts w:ascii="Arial" w:hAnsi="Arial" w:cs="Arial"/>
          <w:sz w:val="20"/>
          <w:szCs w:val="20"/>
        </w:rPr>
      </w:pPr>
      <w:r>
        <w:rPr>
          <w:rFonts w:ascii="Arial" w:hAnsi="Arial" w:cs="Arial"/>
          <w:sz w:val="20"/>
          <w:szCs w:val="20"/>
        </w:rPr>
        <w:t xml:space="preserve">Les étudiants de troisième cycle des études de médecine peuvent demander à changer de spécialité, </w:t>
      </w:r>
    </w:p>
    <w:p w:rsidR="00F46C36" w:rsidRDefault="00F46C36" w:rsidP="00F46C36">
      <w:pPr>
        <w:pStyle w:val="NormalWeb"/>
        <w:spacing w:before="0" w:beforeAutospacing="0" w:after="0" w:afterAutospacing="0"/>
        <w:ind w:firstLine="709"/>
        <w:jc w:val="both"/>
        <w:rPr>
          <w:rFonts w:ascii="Arial" w:hAnsi="Arial" w:cs="Arial"/>
          <w:sz w:val="20"/>
          <w:szCs w:val="20"/>
        </w:rPr>
      </w:pPr>
      <w:r>
        <w:rPr>
          <w:rFonts w:ascii="Arial" w:hAnsi="Arial" w:cs="Arial"/>
          <w:sz w:val="20"/>
          <w:szCs w:val="20"/>
        </w:rPr>
        <w:t xml:space="preserve">- au plus tard durant le deuxième semestre de la phase d'approfondissement pour les étudiants hors biologie médicale. </w:t>
      </w:r>
    </w:p>
    <w:p w:rsidR="0046557B" w:rsidRDefault="005E662A">
      <w:pPr>
        <w:pStyle w:val="NormalWeb"/>
        <w:spacing w:before="0" w:beforeAutospacing="0" w:after="0" w:afterAutospacing="0"/>
        <w:ind w:firstLine="709"/>
        <w:jc w:val="both"/>
        <w:rPr>
          <w:rFonts w:ascii="Arial" w:hAnsi="Arial" w:cs="Arial"/>
          <w:sz w:val="20"/>
          <w:szCs w:val="20"/>
        </w:rPr>
      </w:pPr>
      <w:r>
        <w:rPr>
          <w:rFonts w:ascii="Arial" w:hAnsi="Arial" w:cs="Arial"/>
          <w:sz w:val="20"/>
          <w:szCs w:val="20"/>
        </w:rPr>
        <w:t xml:space="preserve">- </w:t>
      </w:r>
      <w:r w:rsidR="00297018">
        <w:rPr>
          <w:rFonts w:ascii="Arial" w:hAnsi="Arial" w:cs="Arial"/>
          <w:sz w:val="20"/>
          <w:szCs w:val="20"/>
        </w:rPr>
        <w:t xml:space="preserve">au plus tard </w:t>
      </w:r>
      <w:r>
        <w:rPr>
          <w:rFonts w:ascii="Arial" w:hAnsi="Arial" w:cs="Arial"/>
          <w:sz w:val="20"/>
          <w:szCs w:val="20"/>
        </w:rPr>
        <w:t xml:space="preserve">durant le dernier semestre de la phase socle pour les étudiants inscrits en biologie médicale, </w:t>
      </w:r>
    </w:p>
    <w:p w:rsidR="0046557B" w:rsidRDefault="005E662A">
      <w:pPr>
        <w:pStyle w:val="NormalWeb"/>
        <w:jc w:val="both"/>
        <w:rPr>
          <w:rFonts w:ascii="Arial" w:hAnsi="Arial" w:cs="Arial"/>
          <w:sz w:val="20"/>
          <w:szCs w:val="20"/>
        </w:rPr>
      </w:pPr>
      <w:r>
        <w:rPr>
          <w:rFonts w:ascii="Arial" w:hAnsi="Arial" w:cs="Arial"/>
          <w:sz w:val="20"/>
          <w:szCs w:val="20"/>
        </w:rPr>
        <w:t>Ce changement s'effectue dans la subdivision au sein de laquelle l'étudiant a été affecté à l'issue de la procédure nationale de choix.</w:t>
      </w:r>
    </w:p>
    <w:p w:rsidR="0046557B" w:rsidRDefault="005E662A">
      <w:pPr>
        <w:pStyle w:val="NormalWeb"/>
        <w:jc w:val="both"/>
        <w:rPr>
          <w:rFonts w:ascii="Arial" w:hAnsi="Arial" w:cs="Arial"/>
          <w:sz w:val="20"/>
          <w:szCs w:val="20"/>
        </w:rPr>
      </w:pPr>
      <w:r>
        <w:rPr>
          <w:rFonts w:ascii="Arial" w:hAnsi="Arial" w:cs="Arial"/>
          <w:sz w:val="20"/>
          <w:szCs w:val="20"/>
        </w:rPr>
        <w:t xml:space="preserve">Un changement de spécialité ne peut être effectué que vers une spécialité dans laquelle des postes ont été ouverts lors des épreuves </w:t>
      </w:r>
      <w:r w:rsidR="00387039">
        <w:rPr>
          <w:rFonts w:ascii="Arial" w:hAnsi="Arial" w:cs="Arial"/>
          <w:sz w:val="20"/>
          <w:szCs w:val="20"/>
        </w:rPr>
        <w:t>dématérialisées</w:t>
      </w:r>
      <w:r>
        <w:rPr>
          <w:rFonts w:ascii="Arial" w:hAnsi="Arial" w:cs="Arial"/>
          <w:sz w:val="20"/>
          <w:szCs w:val="20"/>
        </w:rPr>
        <w:t xml:space="preserve"> nationales</w:t>
      </w:r>
      <w:r w:rsidR="008F10AC">
        <w:rPr>
          <w:rFonts w:ascii="Arial" w:hAnsi="Arial" w:cs="Arial"/>
          <w:sz w:val="20"/>
          <w:szCs w:val="20"/>
        </w:rPr>
        <w:t xml:space="preserve"> ou </w:t>
      </w:r>
      <w:r w:rsidR="008F10AC" w:rsidRPr="008F10AC">
        <w:rPr>
          <w:rFonts w:ascii="Arial" w:hAnsi="Arial" w:cs="Arial"/>
          <w:sz w:val="20"/>
          <w:szCs w:val="20"/>
        </w:rPr>
        <w:t xml:space="preserve">épreuves </w:t>
      </w:r>
      <w:r w:rsidR="008F10AC">
        <w:rPr>
          <w:rFonts w:ascii="Arial" w:hAnsi="Arial" w:cs="Arial"/>
          <w:sz w:val="20"/>
          <w:szCs w:val="20"/>
        </w:rPr>
        <w:t>classantes</w:t>
      </w:r>
      <w:r w:rsidR="008F10AC" w:rsidRPr="008F10AC">
        <w:rPr>
          <w:rFonts w:ascii="Arial" w:hAnsi="Arial" w:cs="Arial"/>
          <w:sz w:val="20"/>
          <w:szCs w:val="20"/>
        </w:rPr>
        <w:t xml:space="preserve"> nationales </w:t>
      </w:r>
      <w:r w:rsidR="008F10AC">
        <w:rPr>
          <w:rFonts w:ascii="Arial" w:hAnsi="Arial" w:cs="Arial"/>
          <w:sz w:val="20"/>
          <w:szCs w:val="20"/>
        </w:rPr>
        <w:t>(</w:t>
      </w:r>
      <w:r>
        <w:rPr>
          <w:rFonts w:ascii="Arial" w:hAnsi="Arial" w:cs="Arial"/>
          <w:sz w:val="20"/>
          <w:szCs w:val="20"/>
        </w:rPr>
        <w:t>E</w:t>
      </w:r>
      <w:r w:rsidR="002C5D86">
        <w:rPr>
          <w:rFonts w:ascii="Arial" w:hAnsi="Arial" w:cs="Arial"/>
          <w:sz w:val="20"/>
          <w:szCs w:val="20"/>
        </w:rPr>
        <w:t>D</w:t>
      </w:r>
      <w:r>
        <w:rPr>
          <w:rFonts w:ascii="Arial" w:hAnsi="Arial" w:cs="Arial"/>
          <w:sz w:val="20"/>
          <w:szCs w:val="20"/>
        </w:rPr>
        <w:t>N</w:t>
      </w:r>
      <w:r w:rsidR="008F10AC">
        <w:rPr>
          <w:rFonts w:ascii="Arial" w:hAnsi="Arial" w:cs="Arial"/>
          <w:sz w:val="20"/>
          <w:szCs w:val="20"/>
        </w:rPr>
        <w:t>/ECN</w:t>
      </w:r>
      <w:r>
        <w:rPr>
          <w:rFonts w:ascii="Arial" w:hAnsi="Arial" w:cs="Arial"/>
          <w:sz w:val="20"/>
          <w:szCs w:val="20"/>
        </w:rPr>
        <w:t>) à l'issue desquelles il a été définitivement affecté.</w:t>
      </w:r>
    </w:p>
    <w:p w:rsidR="0046557B" w:rsidRDefault="005E662A">
      <w:pPr>
        <w:pStyle w:val="NormalWeb"/>
        <w:jc w:val="both"/>
        <w:rPr>
          <w:rFonts w:ascii="Arial" w:hAnsi="Arial" w:cs="Arial"/>
          <w:sz w:val="20"/>
          <w:szCs w:val="20"/>
        </w:rPr>
      </w:pPr>
      <w:r>
        <w:rPr>
          <w:rFonts w:ascii="Arial" w:hAnsi="Arial" w:cs="Arial"/>
          <w:sz w:val="20"/>
          <w:szCs w:val="20"/>
        </w:rPr>
        <w:t>Tout changement de spécialité est définitif et ne peut être exercé qu'une seule fois au cours de la formation de troisième cycle.</w:t>
      </w:r>
    </w:p>
    <w:p w:rsidR="0046557B" w:rsidRDefault="005E662A">
      <w:pPr>
        <w:spacing w:before="100" w:beforeAutospacing="1" w:after="100" w:afterAutospacing="1"/>
        <w:rPr>
          <w:rFonts w:ascii="Arial" w:hAnsi="Arial" w:cs="Arial"/>
          <w:b/>
          <w:sz w:val="20"/>
          <w:szCs w:val="20"/>
        </w:rPr>
      </w:pPr>
      <w:r>
        <w:rPr>
          <w:rFonts w:ascii="Arial" w:hAnsi="Arial" w:cs="Arial"/>
          <w:b/>
          <w:sz w:val="20"/>
          <w:szCs w:val="20"/>
        </w:rPr>
        <w:t>1.2. Deux cas de figure :</w:t>
      </w:r>
    </w:p>
    <w:p w:rsidR="002C5D86" w:rsidRDefault="005E662A">
      <w:pPr>
        <w:spacing w:before="100" w:beforeAutospacing="1" w:after="100" w:afterAutospacing="1"/>
        <w:jc w:val="both"/>
        <w:rPr>
          <w:rFonts w:ascii="Arial" w:hAnsi="Arial" w:cs="Arial"/>
          <w:sz w:val="20"/>
          <w:szCs w:val="20"/>
        </w:rPr>
      </w:pPr>
      <w:r>
        <w:rPr>
          <w:rFonts w:ascii="Arial" w:hAnsi="Arial" w:cs="Arial"/>
          <w:sz w:val="20"/>
          <w:szCs w:val="20"/>
        </w:rPr>
        <w:t xml:space="preserve">Cas n°1 : </w:t>
      </w:r>
      <w:r w:rsidR="002C5D86">
        <w:rPr>
          <w:rFonts w:ascii="Arial" w:hAnsi="Arial" w:cs="Arial"/>
          <w:sz w:val="20"/>
          <w:szCs w:val="20"/>
        </w:rPr>
        <w:t>Le DAR en rang utile</w:t>
      </w:r>
    </w:p>
    <w:p w:rsidR="0046557B" w:rsidRDefault="005E662A">
      <w:pPr>
        <w:spacing w:before="100" w:beforeAutospacing="1" w:after="100" w:afterAutospacing="1"/>
        <w:jc w:val="both"/>
        <w:rPr>
          <w:rFonts w:ascii="Arial" w:hAnsi="Arial" w:cs="Arial"/>
          <w:sz w:val="20"/>
          <w:szCs w:val="20"/>
        </w:rPr>
      </w:pPr>
      <w:r>
        <w:rPr>
          <w:rFonts w:ascii="Arial" w:hAnsi="Arial" w:cs="Arial"/>
          <w:sz w:val="20"/>
          <w:szCs w:val="20"/>
        </w:rPr>
        <w:t>L'étudiant qui souhaite changer de spécialité doit avoir été classé « en rang utile » à l'issue des E</w:t>
      </w:r>
      <w:r w:rsidR="002C5D86">
        <w:rPr>
          <w:rFonts w:ascii="Arial" w:hAnsi="Arial" w:cs="Arial"/>
          <w:sz w:val="20"/>
          <w:szCs w:val="20"/>
        </w:rPr>
        <w:t>D</w:t>
      </w:r>
      <w:r>
        <w:rPr>
          <w:rFonts w:ascii="Arial" w:hAnsi="Arial" w:cs="Arial"/>
          <w:sz w:val="20"/>
          <w:szCs w:val="20"/>
        </w:rPr>
        <w:t>N, c'est-à-dire à un rang au moins égal à celui du dernier candidat issu des mêmes E</w:t>
      </w:r>
      <w:r w:rsidR="002C5D86">
        <w:rPr>
          <w:rFonts w:ascii="Arial" w:hAnsi="Arial" w:cs="Arial"/>
          <w:sz w:val="20"/>
          <w:szCs w:val="20"/>
        </w:rPr>
        <w:t>D</w:t>
      </w:r>
      <w:r>
        <w:rPr>
          <w:rFonts w:ascii="Arial" w:hAnsi="Arial" w:cs="Arial"/>
          <w:sz w:val="20"/>
          <w:szCs w:val="20"/>
        </w:rPr>
        <w:t xml:space="preserve">N et affecté dans cette spécialité au niveau de la même subdivision. </w:t>
      </w:r>
    </w:p>
    <w:p w:rsidR="002C5D86" w:rsidRDefault="005E662A">
      <w:pPr>
        <w:spacing w:before="100" w:beforeAutospacing="1" w:after="100" w:afterAutospacing="1"/>
        <w:jc w:val="both"/>
        <w:rPr>
          <w:rFonts w:ascii="Arial" w:hAnsi="Arial" w:cs="Arial"/>
          <w:sz w:val="20"/>
          <w:szCs w:val="20"/>
        </w:rPr>
      </w:pPr>
      <w:r>
        <w:rPr>
          <w:rFonts w:ascii="Arial" w:hAnsi="Arial" w:cs="Arial"/>
          <w:sz w:val="20"/>
          <w:szCs w:val="20"/>
        </w:rPr>
        <w:t>Cas n°2 :</w:t>
      </w:r>
      <w:r w:rsidR="002C5D86">
        <w:rPr>
          <w:rFonts w:ascii="Arial" w:hAnsi="Arial" w:cs="Arial"/>
          <w:sz w:val="20"/>
          <w:szCs w:val="20"/>
        </w:rPr>
        <w:t xml:space="preserve"> </w:t>
      </w:r>
      <w:r w:rsidR="002C5D86" w:rsidRPr="002C5D86">
        <w:rPr>
          <w:rFonts w:ascii="Arial" w:hAnsi="Arial" w:cs="Arial"/>
          <w:sz w:val="20"/>
          <w:szCs w:val="20"/>
        </w:rPr>
        <w:t>Le DAR vers une spécialité au sein de laquelle des postes sont restés vacants au niveau de la subdivision à l’issue des mêmes E</w:t>
      </w:r>
      <w:r w:rsidR="002C5D86">
        <w:rPr>
          <w:rFonts w:ascii="Arial" w:hAnsi="Arial" w:cs="Arial"/>
          <w:sz w:val="20"/>
          <w:szCs w:val="20"/>
        </w:rPr>
        <w:t>D</w:t>
      </w:r>
      <w:r w:rsidR="002C5D86" w:rsidRPr="002C5D86">
        <w:rPr>
          <w:rFonts w:ascii="Arial" w:hAnsi="Arial" w:cs="Arial"/>
          <w:sz w:val="20"/>
          <w:szCs w:val="20"/>
        </w:rPr>
        <w:t>N</w:t>
      </w:r>
    </w:p>
    <w:p w:rsidR="00F9239B" w:rsidRDefault="008F10AC">
      <w:pPr>
        <w:spacing w:before="100" w:beforeAutospacing="1" w:after="100" w:afterAutospacing="1"/>
        <w:jc w:val="both"/>
        <w:rPr>
          <w:rFonts w:ascii="Arial" w:hAnsi="Arial" w:cs="Arial"/>
          <w:sz w:val="20"/>
          <w:szCs w:val="20"/>
        </w:rPr>
      </w:pPr>
      <w:r w:rsidRPr="00F9239B">
        <w:rPr>
          <w:rFonts w:ascii="Arial" w:hAnsi="Arial" w:cs="Arial"/>
          <w:sz w:val="20"/>
          <w:szCs w:val="20"/>
        </w:rPr>
        <w:t>L’étudiant</w:t>
      </w:r>
      <w:r w:rsidR="00F9239B" w:rsidRPr="00F9239B">
        <w:rPr>
          <w:rFonts w:ascii="Arial" w:hAnsi="Arial" w:cs="Arial"/>
          <w:sz w:val="20"/>
          <w:szCs w:val="20"/>
        </w:rPr>
        <w:t xml:space="preserve"> peut demander un DAR sans considération de rang de classement </w:t>
      </w:r>
      <w:r w:rsidR="00F9239B">
        <w:rPr>
          <w:rFonts w:ascii="Arial" w:hAnsi="Arial" w:cs="Arial"/>
          <w:sz w:val="20"/>
          <w:szCs w:val="20"/>
        </w:rPr>
        <w:t>s</w:t>
      </w:r>
      <w:r w:rsidR="00F9239B" w:rsidRPr="00F9239B">
        <w:rPr>
          <w:rFonts w:ascii="Arial" w:hAnsi="Arial" w:cs="Arial"/>
          <w:sz w:val="20"/>
          <w:szCs w:val="20"/>
        </w:rPr>
        <w:t>i, à l’issue des E</w:t>
      </w:r>
      <w:r w:rsidR="00F9239B">
        <w:rPr>
          <w:rFonts w:ascii="Arial" w:hAnsi="Arial" w:cs="Arial"/>
          <w:sz w:val="20"/>
          <w:szCs w:val="20"/>
        </w:rPr>
        <w:t>D</w:t>
      </w:r>
      <w:r w:rsidR="00F9239B" w:rsidRPr="00F9239B">
        <w:rPr>
          <w:rFonts w:ascii="Arial" w:hAnsi="Arial" w:cs="Arial"/>
          <w:sz w:val="20"/>
          <w:szCs w:val="20"/>
        </w:rPr>
        <w:t xml:space="preserve">N à l’issue desquelles l’étudiant a été définitivement affecté, tous les postes ouverts n’ont pas été pourvus dans une spécialité au niveau de la subdivision. </w:t>
      </w:r>
    </w:p>
    <w:p w:rsidR="0046557B" w:rsidRDefault="00F9239B">
      <w:pPr>
        <w:spacing w:before="100" w:beforeAutospacing="1" w:after="100" w:afterAutospacing="1"/>
        <w:jc w:val="both"/>
        <w:rPr>
          <w:rFonts w:ascii="Arial" w:hAnsi="Arial" w:cs="Arial"/>
          <w:sz w:val="20"/>
          <w:szCs w:val="20"/>
        </w:rPr>
      </w:pPr>
      <w:r w:rsidRPr="00F9239B">
        <w:rPr>
          <w:rFonts w:ascii="Arial" w:hAnsi="Arial" w:cs="Arial"/>
          <w:sz w:val="20"/>
          <w:szCs w:val="20"/>
        </w:rPr>
        <w:t xml:space="preserve">Toutefois, si les demandes sont supérieures au nombre de postes non pourvus, les candidatures sont examinées en considération du rang de classement des étudiants qui souhaitent effectuer ce changement. </w:t>
      </w:r>
    </w:p>
    <w:p w:rsidR="00F9239B" w:rsidRDefault="00F9239B">
      <w:pPr>
        <w:spacing w:before="100" w:beforeAutospacing="1" w:after="100" w:afterAutospacing="1"/>
        <w:jc w:val="both"/>
        <w:rPr>
          <w:rFonts w:ascii="Arial" w:hAnsi="Arial" w:cs="Arial"/>
          <w:sz w:val="20"/>
          <w:szCs w:val="20"/>
        </w:rPr>
      </w:pPr>
    </w:p>
    <w:p w:rsidR="00F9239B" w:rsidRDefault="00F9239B">
      <w:pPr>
        <w:spacing w:before="100" w:beforeAutospacing="1" w:after="100" w:afterAutospacing="1"/>
        <w:jc w:val="both"/>
        <w:rPr>
          <w:rFonts w:ascii="Arial" w:hAnsi="Arial" w:cs="Arial"/>
          <w:sz w:val="20"/>
          <w:szCs w:val="20"/>
        </w:rPr>
      </w:pPr>
    </w:p>
    <w:p w:rsidR="00F9239B" w:rsidRDefault="00F9239B">
      <w:pPr>
        <w:spacing w:before="100" w:beforeAutospacing="1" w:after="100" w:afterAutospacing="1"/>
        <w:jc w:val="both"/>
        <w:rPr>
          <w:rFonts w:ascii="Arial" w:hAnsi="Arial" w:cs="Arial"/>
          <w:sz w:val="20"/>
          <w:szCs w:val="20"/>
        </w:rPr>
      </w:pPr>
    </w:p>
    <w:p w:rsidR="00F9239B" w:rsidRDefault="00F9239B">
      <w:pPr>
        <w:spacing w:before="100" w:beforeAutospacing="1" w:after="100" w:afterAutospacing="1"/>
        <w:jc w:val="both"/>
        <w:rPr>
          <w:rFonts w:ascii="Arial" w:hAnsi="Arial" w:cs="Arial"/>
          <w:sz w:val="20"/>
          <w:szCs w:val="20"/>
        </w:rPr>
      </w:pPr>
    </w:p>
    <w:p w:rsidR="0046557B" w:rsidRDefault="005E662A">
      <w:pPr>
        <w:pBdr>
          <w:top w:val="single" w:sz="12" w:space="1" w:color="000000"/>
          <w:left w:val="single" w:sz="12" w:space="4" w:color="000000"/>
          <w:bottom w:val="single" w:sz="12" w:space="1" w:color="000000"/>
          <w:right w:val="single" w:sz="12" w:space="4" w:color="000000"/>
        </w:pBdr>
        <w:spacing w:before="100" w:beforeAutospacing="1" w:after="100" w:afterAutospacing="1"/>
        <w:jc w:val="both"/>
        <w:rPr>
          <w:rFonts w:ascii="Arial" w:hAnsi="Arial" w:cs="Arial"/>
          <w:b/>
          <w:sz w:val="20"/>
          <w:szCs w:val="20"/>
          <w:u w:val="single"/>
        </w:rPr>
      </w:pPr>
      <w:r>
        <w:rPr>
          <w:rFonts w:ascii="Arial" w:hAnsi="Arial" w:cs="Arial"/>
          <w:b/>
          <w:sz w:val="20"/>
          <w:szCs w:val="20"/>
          <w:u w:val="single"/>
        </w:rPr>
        <w:t>En résumé</w:t>
      </w:r>
      <w:r w:rsidR="00F9239B">
        <w:rPr>
          <w:rFonts w:ascii="Arial" w:hAnsi="Arial" w:cs="Arial"/>
          <w:b/>
          <w:sz w:val="20"/>
          <w:szCs w:val="20"/>
          <w:u w:val="single"/>
        </w:rPr>
        <w:t>, le Droit au remord</w:t>
      </w:r>
      <w:r w:rsidR="003E2D54">
        <w:rPr>
          <w:rFonts w:ascii="Arial" w:hAnsi="Arial" w:cs="Arial"/>
          <w:b/>
          <w:sz w:val="20"/>
          <w:szCs w:val="20"/>
          <w:u w:val="single"/>
        </w:rPr>
        <w:t>s</w:t>
      </w:r>
      <w:r w:rsidR="00F9239B">
        <w:rPr>
          <w:rFonts w:ascii="Arial" w:hAnsi="Arial" w:cs="Arial"/>
          <w:b/>
          <w:sz w:val="20"/>
          <w:szCs w:val="20"/>
          <w:u w:val="single"/>
        </w:rPr>
        <w:t xml:space="preserve"> classique </w:t>
      </w:r>
      <w:r>
        <w:rPr>
          <w:rFonts w:ascii="Arial" w:hAnsi="Arial" w:cs="Arial"/>
          <w:b/>
          <w:sz w:val="20"/>
          <w:szCs w:val="20"/>
          <w:u w:val="single"/>
        </w:rPr>
        <w:t>:</w:t>
      </w:r>
    </w:p>
    <w:p w:rsidR="0046557B" w:rsidRDefault="005E662A">
      <w:pPr>
        <w:pBdr>
          <w:top w:val="single" w:sz="12" w:space="1" w:color="000000"/>
          <w:left w:val="single" w:sz="12" w:space="4" w:color="000000"/>
          <w:bottom w:val="single" w:sz="12" w:space="1" w:color="000000"/>
          <w:right w:val="single" w:sz="12" w:space="4" w:color="000000"/>
        </w:pBdr>
        <w:spacing w:before="100" w:beforeAutospacing="1" w:after="100" w:afterAutospacing="1"/>
        <w:rPr>
          <w:rFonts w:ascii="Arial" w:hAnsi="Arial" w:cs="Arial"/>
          <w:sz w:val="20"/>
          <w:szCs w:val="20"/>
        </w:rPr>
      </w:pPr>
      <w:r>
        <w:rPr>
          <w:rFonts w:ascii="Arial" w:hAnsi="Arial" w:cs="Arial"/>
          <w:sz w:val="20"/>
          <w:szCs w:val="20"/>
        </w:rPr>
        <w:t>-</w:t>
      </w:r>
      <w:r w:rsidR="00F9239B">
        <w:rPr>
          <w:rFonts w:ascii="Arial" w:hAnsi="Arial" w:cs="Arial"/>
          <w:sz w:val="20"/>
          <w:szCs w:val="20"/>
        </w:rPr>
        <w:t xml:space="preserve"> s’exerce u</w:t>
      </w:r>
      <w:r>
        <w:rPr>
          <w:rFonts w:ascii="Arial" w:hAnsi="Arial" w:cs="Arial"/>
          <w:sz w:val="20"/>
          <w:szCs w:val="20"/>
        </w:rPr>
        <w:t>ne seule fois au cours de l’internat</w:t>
      </w:r>
    </w:p>
    <w:p w:rsidR="0046557B" w:rsidRDefault="005E662A">
      <w:pPr>
        <w:pBdr>
          <w:top w:val="single" w:sz="12" w:space="1" w:color="000000"/>
          <w:left w:val="single" w:sz="12" w:space="4" w:color="000000"/>
          <w:bottom w:val="single" w:sz="12" w:space="1" w:color="000000"/>
          <w:right w:val="single" w:sz="12" w:space="4" w:color="000000"/>
        </w:pBdr>
        <w:spacing w:before="100" w:beforeAutospacing="1" w:after="100" w:afterAutospacing="1"/>
        <w:rPr>
          <w:rFonts w:ascii="Arial" w:hAnsi="Arial" w:cs="Arial"/>
          <w:sz w:val="20"/>
          <w:szCs w:val="20"/>
        </w:rPr>
      </w:pPr>
      <w:r>
        <w:rPr>
          <w:rFonts w:ascii="Arial" w:hAnsi="Arial" w:cs="Arial"/>
          <w:sz w:val="20"/>
          <w:szCs w:val="20"/>
        </w:rPr>
        <w:t xml:space="preserve">- </w:t>
      </w:r>
      <w:r w:rsidR="00F9239B">
        <w:rPr>
          <w:rFonts w:ascii="Arial" w:hAnsi="Arial" w:cs="Arial"/>
          <w:sz w:val="20"/>
          <w:szCs w:val="20"/>
        </w:rPr>
        <w:t>selon un c</w:t>
      </w:r>
      <w:r>
        <w:rPr>
          <w:rFonts w:ascii="Arial" w:hAnsi="Arial" w:cs="Arial"/>
          <w:sz w:val="20"/>
          <w:szCs w:val="20"/>
        </w:rPr>
        <w:t>lassement au rang au moins égal à celui du dernier candidat admis aux mêmes épreuves dans la spécialité OU</w:t>
      </w:r>
      <w:r w:rsidR="00F9239B">
        <w:rPr>
          <w:rFonts w:ascii="Arial" w:hAnsi="Arial" w:cs="Arial"/>
          <w:sz w:val="20"/>
          <w:szCs w:val="20"/>
        </w:rPr>
        <w:t xml:space="preserve"> sans considération du rang de classement seulement si le</w:t>
      </w:r>
      <w:r>
        <w:rPr>
          <w:rFonts w:ascii="Arial" w:hAnsi="Arial" w:cs="Arial"/>
          <w:sz w:val="20"/>
          <w:szCs w:val="20"/>
        </w:rPr>
        <w:t xml:space="preserve"> poste souhaité </w:t>
      </w:r>
      <w:r w:rsidR="00F9239B">
        <w:rPr>
          <w:rFonts w:ascii="Arial" w:hAnsi="Arial" w:cs="Arial"/>
          <w:sz w:val="20"/>
          <w:szCs w:val="20"/>
        </w:rPr>
        <w:t xml:space="preserve">est </w:t>
      </w:r>
      <w:r>
        <w:rPr>
          <w:rFonts w:ascii="Arial" w:hAnsi="Arial" w:cs="Arial"/>
          <w:sz w:val="20"/>
          <w:szCs w:val="20"/>
        </w:rPr>
        <w:t>non pourvu à l’issue des E</w:t>
      </w:r>
      <w:r w:rsidR="00F9239B">
        <w:rPr>
          <w:rFonts w:ascii="Arial" w:hAnsi="Arial" w:cs="Arial"/>
          <w:sz w:val="20"/>
          <w:szCs w:val="20"/>
        </w:rPr>
        <w:t>D</w:t>
      </w:r>
      <w:r>
        <w:rPr>
          <w:rFonts w:ascii="Arial" w:hAnsi="Arial" w:cs="Arial"/>
          <w:sz w:val="20"/>
          <w:szCs w:val="20"/>
        </w:rPr>
        <w:t>N</w:t>
      </w:r>
      <w:r w:rsidR="00F9239B">
        <w:rPr>
          <w:rFonts w:ascii="Arial" w:hAnsi="Arial" w:cs="Arial"/>
          <w:sz w:val="20"/>
          <w:szCs w:val="20"/>
        </w:rPr>
        <w:t>/ECN</w:t>
      </w:r>
    </w:p>
    <w:p w:rsidR="0046557B" w:rsidRDefault="005E662A">
      <w:pPr>
        <w:pBdr>
          <w:top w:val="single" w:sz="12" w:space="1" w:color="000000"/>
          <w:left w:val="single" w:sz="12" w:space="4" w:color="000000"/>
          <w:bottom w:val="single" w:sz="12" w:space="1" w:color="000000"/>
          <w:right w:val="single" w:sz="12" w:space="4" w:color="000000"/>
        </w:pBdr>
        <w:spacing w:before="100" w:beforeAutospacing="1" w:after="100" w:afterAutospacing="1"/>
        <w:rPr>
          <w:rFonts w:ascii="Arial" w:hAnsi="Arial" w:cs="Arial"/>
          <w:sz w:val="20"/>
          <w:szCs w:val="20"/>
        </w:rPr>
      </w:pPr>
      <w:r>
        <w:rPr>
          <w:rFonts w:ascii="Arial" w:hAnsi="Arial" w:cs="Arial"/>
          <w:sz w:val="20"/>
          <w:szCs w:val="20"/>
        </w:rPr>
        <w:t xml:space="preserve">- </w:t>
      </w:r>
      <w:r w:rsidR="00F9239B">
        <w:rPr>
          <w:rFonts w:ascii="Arial" w:hAnsi="Arial" w:cs="Arial"/>
          <w:sz w:val="20"/>
          <w:szCs w:val="20"/>
        </w:rPr>
        <w:t>se met en œuvre pour les m</w:t>
      </w:r>
      <w:r>
        <w:rPr>
          <w:rFonts w:ascii="Arial" w:hAnsi="Arial" w:cs="Arial"/>
          <w:sz w:val="20"/>
          <w:szCs w:val="20"/>
        </w:rPr>
        <w:t>êmes E</w:t>
      </w:r>
      <w:r w:rsidR="00F9239B">
        <w:rPr>
          <w:rFonts w:ascii="Arial" w:hAnsi="Arial" w:cs="Arial"/>
          <w:sz w:val="20"/>
          <w:szCs w:val="20"/>
        </w:rPr>
        <w:t>D</w:t>
      </w:r>
      <w:r>
        <w:rPr>
          <w:rFonts w:ascii="Arial" w:hAnsi="Arial" w:cs="Arial"/>
          <w:sz w:val="20"/>
          <w:szCs w:val="20"/>
        </w:rPr>
        <w:t>N</w:t>
      </w:r>
      <w:r w:rsidR="00F9239B">
        <w:rPr>
          <w:rFonts w:ascii="Arial" w:hAnsi="Arial" w:cs="Arial"/>
          <w:sz w:val="20"/>
          <w:szCs w:val="20"/>
        </w:rPr>
        <w:t xml:space="preserve">/ECN </w:t>
      </w:r>
      <w:r w:rsidR="008F10AC">
        <w:rPr>
          <w:rFonts w:ascii="Arial" w:hAnsi="Arial" w:cs="Arial"/>
          <w:sz w:val="20"/>
          <w:szCs w:val="20"/>
        </w:rPr>
        <w:t>et la</w:t>
      </w:r>
      <w:r w:rsidR="00F9239B">
        <w:rPr>
          <w:rFonts w:ascii="Arial" w:hAnsi="Arial" w:cs="Arial"/>
          <w:sz w:val="20"/>
          <w:szCs w:val="20"/>
        </w:rPr>
        <w:t xml:space="preserve"> m</w:t>
      </w:r>
      <w:r>
        <w:rPr>
          <w:rFonts w:ascii="Arial" w:hAnsi="Arial" w:cs="Arial"/>
          <w:sz w:val="20"/>
          <w:szCs w:val="20"/>
        </w:rPr>
        <w:t>ême subdivision</w:t>
      </w:r>
    </w:p>
    <w:p w:rsidR="0046557B" w:rsidRDefault="00F9239B">
      <w:pPr>
        <w:pBdr>
          <w:top w:val="single" w:sz="12" w:space="1" w:color="000000"/>
          <w:left w:val="single" w:sz="12" w:space="4" w:color="000000"/>
          <w:bottom w:val="single" w:sz="12" w:space="1" w:color="000000"/>
          <w:right w:val="single" w:sz="12" w:space="4" w:color="000000"/>
        </w:pBdr>
        <w:spacing w:before="100" w:beforeAutospacing="1" w:after="100" w:afterAutospacing="1"/>
        <w:rPr>
          <w:rFonts w:ascii="Arial" w:hAnsi="Arial" w:cs="Arial"/>
          <w:sz w:val="20"/>
          <w:szCs w:val="20"/>
        </w:rPr>
      </w:pPr>
      <w:r>
        <w:rPr>
          <w:rFonts w:ascii="Arial" w:hAnsi="Arial" w:cs="Arial"/>
          <w:sz w:val="20"/>
          <w:szCs w:val="20"/>
        </w:rPr>
        <w:t xml:space="preserve">- doit être demandé </w:t>
      </w:r>
      <w:r w:rsidR="00EA0213">
        <w:rPr>
          <w:rFonts w:ascii="Arial" w:hAnsi="Arial" w:cs="Arial"/>
          <w:sz w:val="20"/>
          <w:szCs w:val="20"/>
        </w:rPr>
        <w:t>a</w:t>
      </w:r>
      <w:r w:rsidR="005E662A">
        <w:rPr>
          <w:rFonts w:ascii="Arial" w:hAnsi="Arial" w:cs="Arial"/>
          <w:sz w:val="20"/>
          <w:szCs w:val="20"/>
        </w:rPr>
        <w:t>vant la fin du 4</w:t>
      </w:r>
      <w:r w:rsidR="005E662A">
        <w:rPr>
          <w:rFonts w:ascii="Arial" w:hAnsi="Arial" w:cs="Arial"/>
          <w:sz w:val="20"/>
          <w:szCs w:val="20"/>
          <w:vertAlign w:val="superscript"/>
        </w:rPr>
        <w:t>e</w:t>
      </w:r>
      <w:r w:rsidR="005E662A">
        <w:rPr>
          <w:rFonts w:ascii="Arial" w:hAnsi="Arial" w:cs="Arial"/>
          <w:sz w:val="20"/>
          <w:szCs w:val="20"/>
        </w:rPr>
        <w:t xml:space="preserve"> semestre d’internat</w:t>
      </w:r>
    </w:p>
    <w:p w:rsidR="0046557B" w:rsidRDefault="0046557B">
      <w:pPr>
        <w:rPr>
          <w:rFonts w:ascii="Arial" w:hAnsi="Arial" w:cs="Arial"/>
          <w:b/>
          <w:sz w:val="20"/>
          <w:szCs w:val="20"/>
        </w:rPr>
      </w:pPr>
    </w:p>
    <w:p w:rsidR="0046557B" w:rsidRDefault="005E662A">
      <w:pPr>
        <w:rPr>
          <w:rFonts w:ascii="Arial" w:hAnsi="Arial" w:cs="Arial"/>
          <w:b/>
          <w:sz w:val="20"/>
          <w:szCs w:val="20"/>
        </w:rPr>
      </w:pPr>
      <w:r>
        <w:rPr>
          <w:rFonts w:ascii="Arial" w:hAnsi="Arial" w:cs="Arial"/>
          <w:b/>
          <w:sz w:val="20"/>
          <w:szCs w:val="20"/>
        </w:rPr>
        <w:t xml:space="preserve">Le cas particulier des étudiants ayant signé un CESP : </w:t>
      </w:r>
    </w:p>
    <w:p w:rsidR="0046557B" w:rsidRDefault="005E662A">
      <w:pPr>
        <w:jc w:val="both"/>
        <w:rPr>
          <w:rFonts w:ascii="Arial" w:hAnsi="Arial" w:cs="Arial"/>
          <w:sz w:val="20"/>
          <w:szCs w:val="20"/>
        </w:rPr>
      </w:pPr>
      <w:r>
        <w:rPr>
          <w:rFonts w:ascii="Arial" w:hAnsi="Arial" w:cs="Arial"/>
          <w:sz w:val="20"/>
          <w:szCs w:val="20"/>
        </w:rPr>
        <w:t>Les internes ayant signé un CESP ont également la possibilité de changer, une seule fois, de spécialité parmi celles offertes au titre de l’année universitaire de début du troisième cycle et dans la subdivision d’affectation. Toutefois, pour ces internes, le rang de classement pris en compte est celui du dernier candidat issu des mêmes ECN, affecté dans la spécialité et la subdivision et ayant signé un CESP.</w:t>
      </w:r>
    </w:p>
    <w:p w:rsidR="0046557B" w:rsidRDefault="0046557B">
      <w:pPr>
        <w:rPr>
          <w:rFonts w:ascii="Arial" w:hAnsi="Arial" w:cs="Arial"/>
          <w:bCs/>
          <w:sz w:val="20"/>
          <w:szCs w:val="20"/>
        </w:rPr>
      </w:pPr>
    </w:p>
    <w:p w:rsidR="0046557B" w:rsidRDefault="005E662A">
      <w:pPr>
        <w:pBdr>
          <w:top w:val="single" w:sz="4" w:space="1" w:color="000000"/>
          <w:left w:val="single" w:sz="4" w:space="4" w:color="000000"/>
          <w:bottom w:val="single" w:sz="4" w:space="1" w:color="000000"/>
          <w:right w:val="single" w:sz="4" w:space="4" w:color="000000"/>
        </w:pBdr>
        <w:shd w:val="clear" w:color="auto" w:fill="FFFFFF"/>
        <w:jc w:val="both"/>
        <w:rPr>
          <w:rFonts w:ascii="Arial" w:hAnsi="Arial" w:cs="Arial"/>
          <w:b/>
          <w:sz w:val="20"/>
          <w:szCs w:val="20"/>
        </w:rPr>
      </w:pPr>
      <w:r>
        <w:rPr>
          <w:rFonts w:ascii="Arial" w:hAnsi="Arial" w:cs="Arial"/>
          <w:b/>
          <w:sz w:val="20"/>
          <w:szCs w:val="20"/>
        </w:rPr>
        <w:t>3.</w:t>
      </w:r>
      <w:r>
        <w:rPr>
          <w:rFonts w:ascii="Arial" w:hAnsi="Arial" w:cs="Arial"/>
          <w:b/>
          <w:sz w:val="20"/>
          <w:szCs w:val="20"/>
        </w:rPr>
        <w:tab/>
        <w:t>Comment procéder ?</w:t>
      </w:r>
    </w:p>
    <w:p w:rsidR="0046557B" w:rsidRDefault="005E662A">
      <w:pPr>
        <w:spacing w:before="100" w:beforeAutospacing="1" w:after="100" w:afterAutospacing="1"/>
        <w:rPr>
          <w:rFonts w:ascii="Arial" w:hAnsi="Arial" w:cs="Arial"/>
          <w:sz w:val="20"/>
          <w:szCs w:val="20"/>
        </w:rPr>
      </w:pPr>
      <w:r>
        <w:rPr>
          <w:rFonts w:ascii="Arial" w:hAnsi="Arial" w:cs="Arial"/>
          <w:sz w:val="20"/>
          <w:szCs w:val="20"/>
        </w:rPr>
        <w:t xml:space="preserve">L'étudiant fait la demande de changement de spécialité auprès du directeur de l'unité de formation et de recherche dans laquelle il est inscrit, au cours des deux premiers mois du semestre de formation. </w:t>
      </w:r>
    </w:p>
    <w:p w:rsidR="0046557B" w:rsidRDefault="005E662A">
      <w:pPr>
        <w:spacing w:line="360" w:lineRule="auto"/>
        <w:jc w:val="both"/>
        <w:rPr>
          <w:rFonts w:ascii="Arial" w:hAnsi="Arial" w:cs="Arial"/>
          <w:sz w:val="20"/>
          <w:szCs w:val="20"/>
        </w:rPr>
      </w:pPr>
      <w:r>
        <w:rPr>
          <w:rFonts w:ascii="Arial" w:hAnsi="Arial" w:cs="Arial"/>
          <w:sz w:val="20"/>
          <w:szCs w:val="20"/>
        </w:rPr>
        <w:t xml:space="preserve">Le dossier de demande comprend : </w:t>
      </w:r>
    </w:p>
    <w:p w:rsidR="0046557B" w:rsidRDefault="005E662A">
      <w:pPr>
        <w:ind w:left="709"/>
        <w:jc w:val="both"/>
        <w:rPr>
          <w:rFonts w:ascii="Arial" w:hAnsi="Arial" w:cs="Arial"/>
          <w:sz w:val="20"/>
          <w:szCs w:val="20"/>
        </w:rPr>
      </w:pPr>
      <w:r>
        <w:rPr>
          <w:rFonts w:ascii="Arial" w:hAnsi="Arial" w:cs="Arial"/>
          <w:sz w:val="20"/>
          <w:szCs w:val="20"/>
        </w:rPr>
        <w:t>- Le formulaire de demande de droit au remords,</w:t>
      </w:r>
    </w:p>
    <w:p w:rsidR="0087653A" w:rsidRDefault="005E662A" w:rsidP="0087653A">
      <w:pPr>
        <w:ind w:left="709"/>
        <w:jc w:val="both"/>
        <w:rPr>
          <w:rFonts w:ascii="Arial" w:hAnsi="Arial" w:cs="Arial"/>
          <w:sz w:val="20"/>
          <w:szCs w:val="20"/>
        </w:rPr>
      </w:pPr>
      <w:r>
        <w:rPr>
          <w:rFonts w:ascii="Arial" w:hAnsi="Arial" w:cs="Arial"/>
          <w:sz w:val="20"/>
          <w:szCs w:val="20"/>
        </w:rPr>
        <w:t>- Un courrier à l’attention du directeur de l’UFR motivant la demande du droit au remords</w:t>
      </w:r>
    </w:p>
    <w:p w:rsidR="0087653A" w:rsidRDefault="0087653A" w:rsidP="0087653A">
      <w:pPr>
        <w:ind w:left="709"/>
        <w:jc w:val="both"/>
        <w:rPr>
          <w:rFonts w:ascii="Arial" w:hAnsi="Arial" w:cs="Arial"/>
          <w:sz w:val="20"/>
          <w:szCs w:val="20"/>
        </w:rPr>
      </w:pPr>
    </w:p>
    <w:p w:rsidR="0046557B" w:rsidRDefault="005E662A">
      <w:pPr>
        <w:spacing w:line="360" w:lineRule="auto"/>
        <w:jc w:val="both"/>
        <w:rPr>
          <w:rFonts w:ascii="Arial" w:hAnsi="Arial" w:cs="Arial"/>
          <w:sz w:val="20"/>
          <w:szCs w:val="20"/>
        </w:rPr>
      </w:pPr>
      <w:r>
        <w:rPr>
          <w:rFonts w:ascii="Arial" w:hAnsi="Arial" w:cs="Arial"/>
          <w:sz w:val="20"/>
          <w:szCs w:val="20"/>
        </w:rPr>
        <w:t>Date limite d’envoi du dossier :</w:t>
      </w:r>
    </w:p>
    <w:p w:rsidR="0046557B" w:rsidRDefault="005E662A">
      <w:pPr>
        <w:spacing w:line="360" w:lineRule="auto"/>
        <w:ind w:firstLine="709"/>
        <w:jc w:val="both"/>
        <w:rPr>
          <w:rFonts w:ascii="Arial" w:hAnsi="Arial" w:cs="Arial"/>
          <w:sz w:val="20"/>
          <w:szCs w:val="20"/>
        </w:rPr>
      </w:pPr>
      <w:r>
        <w:rPr>
          <w:rFonts w:ascii="Arial" w:hAnsi="Arial" w:cs="Arial"/>
          <w:sz w:val="20"/>
          <w:szCs w:val="20"/>
        </w:rPr>
        <w:t>- Pour le semestre de mai à novembre : avant le 31 décembre</w:t>
      </w:r>
    </w:p>
    <w:p w:rsidR="0046557B" w:rsidRDefault="005E662A">
      <w:pPr>
        <w:ind w:firstLine="709"/>
        <w:jc w:val="both"/>
        <w:rPr>
          <w:rFonts w:ascii="Arial" w:hAnsi="Arial" w:cs="Arial"/>
          <w:sz w:val="20"/>
          <w:szCs w:val="20"/>
        </w:rPr>
      </w:pPr>
      <w:r>
        <w:rPr>
          <w:rFonts w:ascii="Arial" w:hAnsi="Arial" w:cs="Arial"/>
          <w:sz w:val="20"/>
          <w:szCs w:val="20"/>
        </w:rPr>
        <w:t>- Pour le semestre de novembre à mai : avant le 30 juin</w:t>
      </w:r>
    </w:p>
    <w:p w:rsidR="0046557B" w:rsidRDefault="0046557B">
      <w:pPr>
        <w:ind w:firstLine="709"/>
        <w:jc w:val="both"/>
        <w:rPr>
          <w:rFonts w:ascii="Arial" w:hAnsi="Arial" w:cs="Arial"/>
          <w:sz w:val="20"/>
          <w:szCs w:val="20"/>
        </w:rPr>
      </w:pPr>
    </w:p>
    <w:p w:rsidR="0046557B" w:rsidRDefault="0046557B">
      <w:pPr>
        <w:rPr>
          <w:rFonts w:ascii="Arial" w:hAnsi="Arial" w:cs="Arial"/>
          <w:bCs/>
          <w:sz w:val="20"/>
          <w:szCs w:val="20"/>
        </w:rPr>
      </w:pPr>
    </w:p>
    <w:p w:rsidR="0046557B" w:rsidRDefault="005E662A">
      <w:pPr>
        <w:pBdr>
          <w:top w:val="single" w:sz="4" w:space="1" w:color="000000"/>
          <w:left w:val="single" w:sz="4" w:space="4" w:color="000000"/>
          <w:bottom w:val="single" w:sz="4" w:space="1" w:color="000000"/>
          <w:right w:val="single" w:sz="4" w:space="4" w:color="000000"/>
        </w:pBdr>
        <w:shd w:val="clear" w:color="auto" w:fill="FFFFFF"/>
        <w:jc w:val="both"/>
        <w:rPr>
          <w:rFonts w:ascii="Arial" w:hAnsi="Arial" w:cs="Arial"/>
          <w:b/>
          <w:sz w:val="20"/>
          <w:szCs w:val="20"/>
        </w:rPr>
      </w:pPr>
      <w:r>
        <w:rPr>
          <w:rFonts w:ascii="Arial" w:hAnsi="Arial" w:cs="Arial"/>
          <w:b/>
          <w:sz w:val="20"/>
          <w:szCs w:val="20"/>
        </w:rPr>
        <w:t>4.</w:t>
      </w:r>
      <w:r>
        <w:rPr>
          <w:rFonts w:ascii="Arial" w:hAnsi="Arial" w:cs="Arial"/>
          <w:b/>
          <w:sz w:val="20"/>
          <w:szCs w:val="20"/>
        </w:rPr>
        <w:tab/>
        <w:t xml:space="preserve">Comment est instruite la demande ? </w:t>
      </w:r>
    </w:p>
    <w:p w:rsidR="0046557B" w:rsidRDefault="005E662A">
      <w:pPr>
        <w:spacing w:before="100" w:beforeAutospacing="1" w:after="100" w:afterAutospacing="1"/>
        <w:jc w:val="both"/>
        <w:rPr>
          <w:rFonts w:ascii="Arial" w:hAnsi="Arial" w:cs="Arial"/>
          <w:sz w:val="20"/>
          <w:szCs w:val="20"/>
        </w:rPr>
      </w:pPr>
      <w:r>
        <w:rPr>
          <w:rFonts w:ascii="Arial" w:hAnsi="Arial" w:cs="Arial"/>
          <w:sz w:val="20"/>
          <w:szCs w:val="20"/>
        </w:rPr>
        <w:t>Le directeur de l’UFR, après avis du coordonnateur local de la spécialité demandée, recueille l'accord du Directeur général de l'Agence régionale de santé sur la demande de changement de spécialité. Cet accord est fonction des capacités de formation en stage et de l'équilibre démographique des professionnels de santé au sein de la région.</w:t>
      </w:r>
    </w:p>
    <w:p w:rsidR="0046557B" w:rsidRDefault="005E662A">
      <w:pPr>
        <w:spacing w:before="100" w:beforeAutospacing="1" w:after="100" w:afterAutospacing="1"/>
        <w:jc w:val="both"/>
        <w:rPr>
          <w:rFonts w:ascii="Arial" w:hAnsi="Arial" w:cs="Arial"/>
          <w:sz w:val="20"/>
          <w:szCs w:val="20"/>
        </w:rPr>
      </w:pPr>
      <w:r>
        <w:rPr>
          <w:rFonts w:ascii="Arial" w:hAnsi="Arial" w:cs="Arial"/>
          <w:sz w:val="20"/>
          <w:szCs w:val="20"/>
        </w:rPr>
        <w:t>Le directeur de l’UFR prend la décision et en informe l'étudiant, le directeur général de l’ARS et le coordonnateur local de la spécialité que l'étudiant a été autorisé à suivre.</w:t>
      </w:r>
    </w:p>
    <w:p w:rsidR="0046557B" w:rsidRDefault="005E662A">
      <w:pPr>
        <w:pBdr>
          <w:top w:val="single" w:sz="4" w:space="1" w:color="000000"/>
          <w:left w:val="single" w:sz="4" w:space="4" w:color="000000"/>
          <w:bottom w:val="single" w:sz="4" w:space="1" w:color="000000"/>
          <w:right w:val="single" w:sz="4" w:space="4" w:color="000000"/>
        </w:pBdr>
        <w:shd w:val="clear" w:color="auto" w:fill="FFFFFF"/>
        <w:jc w:val="both"/>
        <w:rPr>
          <w:rFonts w:ascii="Arial" w:hAnsi="Arial" w:cs="Arial"/>
          <w:b/>
          <w:sz w:val="20"/>
          <w:szCs w:val="20"/>
        </w:rPr>
      </w:pPr>
      <w:r>
        <w:rPr>
          <w:rFonts w:ascii="Arial" w:hAnsi="Arial" w:cs="Arial"/>
          <w:b/>
          <w:sz w:val="20"/>
          <w:szCs w:val="20"/>
        </w:rPr>
        <w:t>5.</w:t>
      </w:r>
      <w:r>
        <w:rPr>
          <w:rFonts w:ascii="Arial" w:hAnsi="Arial" w:cs="Arial"/>
          <w:b/>
          <w:sz w:val="20"/>
          <w:szCs w:val="20"/>
        </w:rPr>
        <w:tab/>
        <w:t>Comment est effectué le classement dans la nouvelle discipline ?</w:t>
      </w:r>
    </w:p>
    <w:p w:rsidR="0046557B" w:rsidRDefault="005E662A">
      <w:pPr>
        <w:spacing w:before="100" w:beforeAutospacing="1" w:after="100" w:afterAutospacing="1"/>
        <w:jc w:val="both"/>
        <w:rPr>
          <w:rFonts w:ascii="Arial" w:hAnsi="Arial" w:cs="Arial"/>
          <w:sz w:val="20"/>
          <w:szCs w:val="20"/>
        </w:rPr>
      </w:pPr>
      <w:r>
        <w:rPr>
          <w:rFonts w:ascii="Arial" w:hAnsi="Arial" w:cs="Arial"/>
          <w:sz w:val="20"/>
          <w:szCs w:val="20"/>
        </w:rPr>
        <w:t>Le classement dans la nouvelle spécialité est celui auquel l’interne aurait pu prétendre s’il avait accédé d’emblée à cette dernière.</w:t>
      </w:r>
    </w:p>
    <w:p w:rsidR="0046557B" w:rsidRDefault="005E662A">
      <w:pPr>
        <w:spacing w:before="100" w:beforeAutospacing="1" w:after="100" w:afterAutospacing="1"/>
        <w:jc w:val="both"/>
        <w:rPr>
          <w:rFonts w:ascii="Arial" w:hAnsi="Arial" w:cs="Arial"/>
          <w:sz w:val="20"/>
          <w:szCs w:val="20"/>
        </w:rPr>
      </w:pPr>
      <w:r>
        <w:rPr>
          <w:rFonts w:ascii="Arial" w:hAnsi="Arial" w:cs="Arial"/>
          <w:sz w:val="20"/>
          <w:szCs w:val="20"/>
        </w:rPr>
        <w:t>Les stages accomplis au titre de la spécialité d'origine peuvent être partiellement ou totalement pris en compte dans la nouvelle spécialité, avec l'accord du coordonnateur du D.E.S. de la spécialité d’accueil.</w:t>
      </w:r>
    </w:p>
    <w:p w:rsidR="0046557B" w:rsidRDefault="005E662A">
      <w:pPr>
        <w:spacing w:before="100" w:beforeAutospacing="1" w:after="100" w:afterAutospacing="1"/>
        <w:jc w:val="both"/>
        <w:rPr>
          <w:rFonts w:ascii="Arial" w:hAnsi="Arial" w:cs="Arial"/>
          <w:sz w:val="20"/>
          <w:szCs w:val="20"/>
        </w:rPr>
      </w:pPr>
      <w:r>
        <w:rPr>
          <w:rFonts w:ascii="Arial" w:hAnsi="Arial" w:cs="Arial"/>
          <w:sz w:val="20"/>
          <w:szCs w:val="20"/>
        </w:rPr>
        <w:t>L’ancienneté dans la nouvelle spécialité d'affectation sera calculée en fonction du nombre de stages pris en compte ou non par le coordonnateur du D.E.S.</w:t>
      </w:r>
    </w:p>
    <w:p w:rsidR="0046557B" w:rsidRDefault="005E662A">
      <w:pPr>
        <w:pBdr>
          <w:top w:val="single" w:sz="4" w:space="1" w:color="000000"/>
          <w:left w:val="single" w:sz="4" w:space="4" w:color="000000"/>
          <w:bottom w:val="single" w:sz="4" w:space="1" w:color="000000"/>
          <w:right w:val="single" w:sz="4" w:space="4" w:color="000000"/>
        </w:pBdr>
        <w:shd w:val="clear" w:color="auto" w:fill="FFFFFF"/>
        <w:jc w:val="both"/>
        <w:rPr>
          <w:rFonts w:ascii="Arial" w:hAnsi="Arial" w:cs="Arial"/>
          <w:b/>
          <w:sz w:val="20"/>
          <w:szCs w:val="20"/>
        </w:rPr>
      </w:pPr>
      <w:r>
        <w:rPr>
          <w:rFonts w:ascii="Arial" w:hAnsi="Arial" w:cs="Arial"/>
          <w:b/>
          <w:sz w:val="20"/>
          <w:szCs w:val="20"/>
        </w:rPr>
        <w:t>6.</w:t>
      </w:r>
      <w:r>
        <w:rPr>
          <w:rFonts w:ascii="Arial" w:hAnsi="Arial" w:cs="Arial"/>
          <w:b/>
          <w:sz w:val="20"/>
          <w:szCs w:val="20"/>
        </w:rPr>
        <w:tab/>
        <w:t xml:space="preserve">Textes de référence </w:t>
      </w:r>
    </w:p>
    <w:p w:rsidR="0046557B" w:rsidRDefault="0046557B">
      <w:pPr>
        <w:spacing w:before="60" w:after="60"/>
        <w:rPr>
          <w:rFonts w:ascii="Arial" w:hAnsi="Arial" w:cs="Arial"/>
          <w:sz w:val="20"/>
          <w:szCs w:val="20"/>
        </w:rPr>
      </w:pPr>
    </w:p>
    <w:p w:rsidR="0046557B" w:rsidRDefault="005E662A">
      <w:pPr>
        <w:rPr>
          <w:rFonts w:ascii="Arial" w:hAnsi="Arial" w:cs="Arial"/>
          <w:sz w:val="20"/>
          <w:szCs w:val="20"/>
        </w:rPr>
      </w:pPr>
      <w:hyperlink r:id="rId7" w:history="1">
        <w:r w:rsidRPr="00CF2196">
          <w:rPr>
            <w:rStyle w:val="Lienhypertexte"/>
            <w:rFonts w:ascii="Arial" w:hAnsi="Arial" w:cs="Arial"/>
            <w:sz w:val="20"/>
            <w:szCs w:val="20"/>
          </w:rPr>
          <w:t>Art. 7 de l’arrêté du 12 avril 2017</w:t>
        </w:r>
      </w:hyperlink>
      <w:r>
        <w:rPr>
          <w:rFonts w:ascii="Arial" w:hAnsi="Arial" w:cs="Arial"/>
          <w:sz w:val="20"/>
          <w:szCs w:val="20"/>
        </w:rPr>
        <w:t xml:space="preserve"> portant organisation du troisième cycle des études de médecine</w:t>
      </w:r>
    </w:p>
    <w:p w:rsidR="00FD6BCF" w:rsidRPr="00FD6BCF" w:rsidRDefault="00FD6BCF">
      <w:pPr>
        <w:rPr>
          <w:rStyle w:val="Lienhypertexte"/>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"https://www.legifrance.gouv.fr/codes/article_lc/LEGIARTI000044028756" </w:instrText>
      </w:r>
      <w:r>
        <w:rPr>
          <w:rFonts w:ascii="Arial" w:hAnsi="Arial" w:cs="Arial"/>
          <w:sz w:val="20"/>
          <w:szCs w:val="20"/>
        </w:rPr>
      </w:r>
      <w:r>
        <w:rPr>
          <w:rFonts w:ascii="Arial" w:hAnsi="Arial" w:cs="Arial"/>
          <w:sz w:val="20"/>
          <w:szCs w:val="20"/>
        </w:rPr>
        <w:fldChar w:fldCharType="separate"/>
      </w:r>
    </w:p>
    <w:p w:rsidR="00FD6BCF" w:rsidRDefault="00FD6BCF">
      <w:pPr>
        <w:rPr>
          <w:rFonts w:ascii="Arial" w:hAnsi="Arial" w:cs="Arial"/>
          <w:bCs/>
          <w:sz w:val="20"/>
          <w:szCs w:val="20"/>
        </w:rPr>
      </w:pPr>
      <w:r w:rsidRPr="00FD6BCF">
        <w:rPr>
          <w:rStyle w:val="Lienhypertexte"/>
          <w:rFonts w:ascii="Arial" w:hAnsi="Arial" w:cs="Arial"/>
          <w:sz w:val="20"/>
          <w:szCs w:val="20"/>
        </w:rPr>
        <w:t>Article R632-11</w:t>
      </w:r>
      <w:r>
        <w:rPr>
          <w:rFonts w:ascii="Arial" w:hAnsi="Arial" w:cs="Arial"/>
          <w:sz w:val="20"/>
          <w:szCs w:val="20"/>
        </w:rPr>
        <w:fldChar w:fldCharType="end"/>
      </w:r>
      <w:r>
        <w:rPr>
          <w:rFonts w:ascii="Arial" w:hAnsi="Arial" w:cs="Arial"/>
          <w:sz w:val="20"/>
          <w:szCs w:val="20"/>
        </w:rPr>
        <w:t xml:space="preserve"> du code de l’éducation </w:t>
      </w:r>
    </w:p>
    <w:sectPr w:rsidR="00FD6BCF">
      <w:headerReference w:type="default" r:id="rId8"/>
      <w:pgSz w:w="11906" w:h="16838"/>
      <w:pgMar w:top="1417"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454" w:rsidRDefault="00983454">
      <w:r>
        <w:separator/>
      </w:r>
    </w:p>
  </w:endnote>
  <w:endnote w:type="continuationSeparator" w:id="0">
    <w:p w:rsidR="00983454" w:rsidRDefault="0098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454" w:rsidRDefault="00983454">
      <w:r>
        <w:separator/>
      </w:r>
    </w:p>
  </w:footnote>
  <w:footnote w:type="continuationSeparator" w:id="0">
    <w:p w:rsidR="00983454" w:rsidRDefault="0098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57B" w:rsidRDefault="00297018" w:rsidP="00FD6BCF">
    <w:pPr>
      <w:ind w:hanging="567"/>
    </w:pPr>
    <w:r>
      <w:rPr>
        <w:noProof/>
      </w:rPr>
      <w:drawing>
        <wp:anchor distT="0" distB="0" distL="114300" distR="114300" simplePos="0" relativeHeight="251658240" behindDoc="1" locked="0" layoutInCell="1" allowOverlap="1" wp14:anchorId="073C4096" wp14:editId="5CEED50E">
          <wp:simplePos x="0" y="0"/>
          <wp:positionH relativeFrom="column">
            <wp:posOffset>3986530</wp:posOffset>
          </wp:positionH>
          <wp:positionV relativeFrom="paragraph">
            <wp:posOffset>-1905</wp:posOffset>
          </wp:positionV>
          <wp:extent cx="1729105" cy="863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37-718-max.png"/>
                  <pic:cNvPicPr/>
                </pic:nvPicPr>
                <pic:blipFill>
                  <a:blip r:embed="rId1">
                    <a:extLst>
                      <a:ext uri="{28A0092B-C50C-407E-A947-70E740481C1C}">
                        <a14:useLocalDpi xmlns:a14="http://schemas.microsoft.com/office/drawing/2010/main" val="0"/>
                      </a:ext>
                    </a:extLst>
                  </a:blip>
                  <a:stretch>
                    <a:fillRect/>
                  </a:stretch>
                </pic:blipFill>
                <pic:spPr>
                  <a:xfrm>
                    <a:off x="0" y="0"/>
                    <a:ext cx="1729105" cy="863600"/>
                  </a:xfrm>
                  <a:prstGeom prst="rect">
                    <a:avLst/>
                  </a:prstGeom>
                </pic:spPr>
              </pic:pic>
            </a:graphicData>
          </a:graphic>
          <wp14:sizeRelH relativeFrom="page">
            <wp14:pctWidth>0</wp14:pctWidth>
          </wp14:sizeRelH>
          <wp14:sizeRelV relativeFrom="page">
            <wp14:pctHeight>0</wp14:pctHeight>
          </wp14:sizeRelV>
        </wp:anchor>
      </w:drawing>
    </w:r>
    <w:r w:rsidR="005E662A">
      <w:rPr>
        <w:noProof/>
      </w:rPr>
      <w:drawing>
        <wp:inline distT="0" distB="0" distL="0" distR="0" wp14:anchorId="57D78D24" wp14:editId="034E7C7E">
          <wp:extent cx="1017270" cy="880110"/>
          <wp:effectExtent l="0" t="0" r="0" b="0"/>
          <wp:docPr id="1" name="Image 10"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pic:cNvPicPr>
                </pic:nvPicPr>
                <pic:blipFill>
                  <a:blip r:embed="rId2"/>
                  <a:stretch/>
                </pic:blipFill>
                <pic:spPr bwMode="auto">
                  <a:xfrm>
                    <a:off x="0" y="0"/>
                    <a:ext cx="1017270" cy="880110"/>
                  </a:xfrm>
                  <a:prstGeom prst="rect">
                    <a:avLst/>
                  </a:prstGeom>
                  <a:noFill/>
                  <a:ln>
                    <a:noFill/>
                  </a:ln>
                </pic:spPr>
              </pic:pic>
            </a:graphicData>
          </a:graphic>
        </wp:inline>
      </w:drawing>
    </w:r>
    <w:r w:rsidR="00FD6BCF" w:rsidRPr="00FD6BCF">
      <w:rPr>
        <w:noProof/>
      </w:rPr>
      <w:t xml:space="preserve"> </w:t>
    </w:r>
  </w:p>
  <w:p w:rsidR="0046557B" w:rsidRDefault="0046557B" w:rsidP="00FD6BC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291"/>
    <w:multiLevelType w:val="multilevel"/>
    <w:tmpl w:val="E4E49B5E"/>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 w15:restartNumberingAfterBreak="0">
    <w:nsid w:val="0E2B3A88"/>
    <w:multiLevelType w:val="multilevel"/>
    <w:tmpl w:val="4F062424"/>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394570D"/>
    <w:multiLevelType w:val="multilevel"/>
    <w:tmpl w:val="BE3A31EA"/>
    <w:lvl w:ilvl="0">
      <w:start w:val="1"/>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D10340D"/>
    <w:multiLevelType w:val="multilevel"/>
    <w:tmpl w:val="0B90D0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C1492"/>
    <w:multiLevelType w:val="multilevel"/>
    <w:tmpl w:val="C50E4E28"/>
    <w:lvl w:ilvl="0">
      <w:start w:val="3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F3E45"/>
    <w:multiLevelType w:val="multilevel"/>
    <w:tmpl w:val="1A0E0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D70E1C"/>
    <w:multiLevelType w:val="multilevel"/>
    <w:tmpl w:val="DF8C9DB8"/>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7" w15:restartNumberingAfterBreak="0">
    <w:nsid w:val="543F4C94"/>
    <w:multiLevelType w:val="multilevel"/>
    <w:tmpl w:val="3D1E3744"/>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55462ABF"/>
    <w:multiLevelType w:val="multilevel"/>
    <w:tmpl w:val="5E44B9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D453B7"/>
    <w:multiLevelType w:val="multilevel"/>
    <w:tmpl w:val="9EBAC692"/>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0" w15:restartNumberingAfterBreak="0">
    <w:nsid w:val="601D05AF"/>
    <w:multiLevelType w:val="multilevel"/>
    <w:tmpl w:val="8758AA4C"/>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1" w15:restartNumberingAfterBreak="0">
    <w:nsid w:val="66383EBB"/>
    <w:multiLevelType w:val="multilevel"/>
    <w:tmpl w:val="AE601B9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EC005B"/>
    <w:multiLevelType w:val="multilevel"/>
    <w:tmpl w:val="AF82C2A6"/>
    <w:lvl w:ilvl="0">
      <w:start w:val="1"/>
      <w:numFmt w:val="bullet"/>
      <w:lvlText w:val="-"/>
      <w:lvlJc w:val="left"/>
      <w:pPr>
        <w:ind w:left="562" w:hanging="360"/>
      </w:pPr>
      <w:rPr>
        <w:rFonts w:ascii="Arial" w:eastAsia="Times New Roman" w:hAnsi="Arial" w:cs="Arial" w:hint="default"/>
      </w:rPr>
    </w:lvl>
    <w:lvl w:ilvl="1">
      <w:start w:val="1"/>
      <w:numFmt w:val="bullet"/>
      <w:lvlText w:val="o"/>
      <w:lvlJc w:val="left"/>
      <w:pPr>
        <w:ind w:left="1282" w:hanging="360"/>
      </w:pPr>
      <w:rPr>
        <w:rFonts w:ascii="Courier New" w:hAnsi="Courier New" w:cs="Courier New" w:hint="default"/>
      </w:rPr>
    </w:lvl>
    <w:lvl w:ilvl="2">
      <w:start w:val="1"/>
      <w:numFmt w:val="bullet"/>
      <w:lvlText w:val=""/>
      <w:lvlJc w:val="left"/>
      <w:pPr>
        <w:ind w:left="2002" w:hanging="360"/>
      </w:pPr>
      <w:rPr>
        <w:rFonts w:ascii="Wingdings" w:hAnsi="Wingdings" w:hint="default"/>
      </w:rPr>
    </w:lvl>
    <w:lvl w:ilvl="3">
      <w:start w:val="1"/>
      <w:numFmt w:val="bullet"/>
      <w:lvlText w:val=""/>
      <w:lvlJc w:val="left"/>
      <w:pPr>
        <w:ind w:left="2722" w:hanging="360"/>
      </w:pPr>
      <w:rPr>
        <w:rFonts w:ascii="Symbol" w:hAnsi="Symbol" w:hint="default"/>
      </w:rPr>
    </w:lvl>
    <w:lvl w:ilvl="4">
      <w:start w:val="1"/>
      <w:numFmt w:val="bullet"/>
      <w:lvlText w:val="o"/>
      <w:lvlJc w:val="left"/>
      <w:pPr>
        <w:ind w:left="3442" w:hanging="360"/>
      </w:pPr>
      <w:rPr>
        <w:rFonts w:ascii="Courier New" w:hAnsi="Courier New" w:cs="Courier New" w:hint="default"/>
      </w:rPr>
    </w:lvl>
    <w:lvl w:ilvl="5">
      <w:start w:val="1"/>
      <w:numFmt w:val="bullet"/>
      <w:lvlText w:val=""/>
      <w:lvlJc w:val="left"/>
      <w:pPr>
        <w:ind w:left="4162" w:hanging="360"/>
      </w:pPr>
      <w:rPr>
        <w:rFonts w:ascii="Wingdings" w:hAnsi="Wingdings" w:hint="default"/>
      </w:rPr>
    </w:lvl>
    <w:lvl w:ilvl="6">
      <w:start w:val="1"/>
      <w:numFmt w:val="bullet"/>
      <w:lvlText w:val=""/>
      <w:lvlJc w:val="left"/>
      <w:pPr>
        <w:ind w:left="4882" w:hanging="360"/>
      </w:pPr>
      <w:rPr>
        <w:rFonts w:ascii="Symbol" w:hAnsi="Symbol" w:hint="default"/>
      </w:rPr>
    </w:lvl>
    <w:lvl w:ilvl="7">
      <w:start w:val="1"/>
      <w:numFmt w:val="bullet"/>
      <w:lvlText w:val="o"/>
      <w:lvlJc w:val="left"/>
      <w:pPr>
        <w:ind w:left="5602" w:hanging="360"/>
      </w:pPr>
      <w:rPr>
        <w:rFonts w:ascii="Courier New" w:hAnsi="Courier New" w:cs="Courier New" w:hint="default"/>
      </w:rPr>
    </w:lvl>
    <w:lvl w:ilvl="8">
      <w:start w:val="1"/>
      <w:numFmt w:val="bullet"/>
      <w:lvlText w:val=""/>
      <w:lvlJc w:val="left"/>
      <w:pPr>
        <w:ind w:left="6322" w:hanging="360"/>
      </w:pPr>
      <w:rPr>
        <w:rFonts w:ascii="Wingdings" w:hAnsi="Wingdings" w:hint="default"/>
      </w:rPr>
    </w:lvl>
  </w:abstractNum>
  <w:abstractNum w:abstractNumId="13" w15:restartNumberingAfterBreak="0">
    <w:nsid w:val="72DA6075"/>
    <w:multiLevelType w:val="multilevel"/>
    <w:tmpl w:val="6910117A"/>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4" w15:restartNumberingAfterBreak="0">
    <w:nsid w:val="7614277F"/>
    <w:multiLevelType w:val="multilevel"/>
    <w:tmpl w:val="C08EC23A"/>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num w:numId="1" w16cid:durableId="333916378">
    <w:abstractNumId w:val="11"/>
  </w:num>
  <w:num w:numId="2" w16cid:durableId="881751565">
    <w:abstractNumId w:val="4"/>
  </w:num>
  <w:num w:numId="3" w16cid:durableId="1718779456">
    <w:abstractNumId w:val="5"/>
  </w:num>
  <w:num w:numId="4" w16cid:durableId="1590772983">
    <w:abstractNumId w:val="8"/>
  </w:num>
  <w:num w:numId="5" w16cid:durableId="963586236">
    <w:abstractNumId w:val="9"/>
  </w:num>
  <w:num w:numId="6" w16cid:durableId="1127166305">
    <w:abstractNumId w:val="6"/>
  </w:num>
  <w:num w:numId="7" w16cid:durableId="23361876">
    <w:abstractNumId w:val="0"/>
  </w:num>
  <w:num w:numId="8" w16cid:durableId="274674481">
    <w:abstractNumId w:val="7"/>
  </w:num>
  <w:num w:numId="9" w16cid:durableId="1804037870">
    <w:abstractNumId w:val="10"/>
  </w:num>
  <w:num w:numId="10" w16cid:durableId="1579942507">
    <w:abstractNumId w:val="13"/>
  </w:num>
  <w:num w:numId="11" w16cid:durableId="2034844686">
    <w:abstractNumId w:val="14"/>
  </w:num>
  <w:num w:numId="12" w16cid:durableId="1383871755">
    <w:abstractNumId w:val="12"/>
  </w:num>
  <w:num w:numId="13" w16cid:durableId="908924838">
    <w:abstractNumId w:val="3"/>
  </w:num>
  <w:num w:numId="14" w16cid:durableId="982975379">
    <w:abstractNumId w:val="2"/>
  </w:num>
  <w:num w:numId="15" w16cid:durableId="693502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B"/>
    <w:rsid w:val="00297018"/>
    <w:rsid w:val="002C5D86"/>
    <w:rsid w:val="00387039"/>
    <w:rsid w:val="003E2D54"/>
    <w:rsid w:val="00447687"/>
    <w:rsid w:val="0046557B"/>
    <w:rsid w:val="004C561E"/>
    <w:rsid w:val="00505A68"/>
    <w:rsid w:val="00505ABA"/>
    <w:rsid w:val="005E662A"/>
    <w:rsid w:val="0069149B"/>
    <w:rsid w:val="007A470E"/>
    <w:rsid w:val="007E42FF"/>
    <w:rsid w:val="0087653A"/>
    <w:rsid w:val="008E6BB0"/>
    <w:rsid w:val="008F10AC"/>
    <w:rsid w:val="00983454"/>
    <w:rsid w:val="009D2B6F"/>
    <w:rsid w:val="009F4FAC"/>
    <w:rsid w:val="00B2152C"/>
    <w:rsid w:val="00BF4FD5"/>
    <w:rsid w:val="00C816B8"/>
    <w:rsid w:val="00CF2196"/>
    <w:rsid w:val="00D772EB"/>
    <w:rsid w:val="00EA0213"/>
    <w:rsid w:val="00F46C36"/>
    <w:rsid w:val="00F9239B"/>
    <w:rsid w:val="00FD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56EB8"/>
  <w15:docId w15:val="{1DF9EEED-E15A-493A-BB61-47F59D4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NormalWeb">
    <w:name w:val="Normal (Web)"/>
    <w:basedOn w:val="Normal"/>
    <w:uiPriority w:val="99"/>
    <w:pPr>
      <w:spacing w:before="100" w:beforeAutospacing="1" w:after="100" w:afterAutospacing="1"/>
    </w:pPr>
  </w:style>
  <w:style w:type="paragraph" w:styleId="Textedebulles">
    <w:name w:val="Balloon Text"/>
    <w:basedOn w:val="Normal"/>
    <w:semiHidden/>
    <w:rPr>
      <w:rFonts w:ascii="Tahoma" w:hAnsi="Tahoma" w:cs="Tahoma"/>
      <w:sz w:val="16"/>
      <w:szCs w:val="16"/>
    </w:rPr>
  </w:style>
  <w:style w:type="character" w:styleId="Lienhypertexte">
    <w:name w:val="Hyperlink"/>
    <w:basedOn w:val="Policepardfaut"/>
    <w:uiPriority w:val="99"/>
    <w:unhideWhenUsed/>
    <w:rPr>
      <w:color w:val="0000FF"/>
      <w:u w:val="single"/>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semiHidden/>
    <w:unhideWhenUsed/>
    <w:rPr>
      <w:sz w:val="20"/>
      <w:szCs w:val="20"/>
    </w:rPr>
  </w:style>
  <w:style w:type="character" w:customStyle="1" w:styleId="CommentaireCar">
    <w:name w:val="Commentaire Car"/>
    <w:basedOn w:val="Policepardfaut"/>
    <w:link w:val="Commentaire"/>
    <w:semiHidden/>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rPr>
  </w:style>
  <w:style w:type="paragraph" w:styleId="Rvision">
    <w:name w:val="Revision"/>
    <w:hidden/>
    <w:uiPriority w:val="99"/>
    <w:semiHidden/>
    <w:rsid w:val="00447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france.gouv.fr/loda/article_lc/LEGIARTI000046687857/2024-1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MARCIAU, Julie (ARS-PDL/DG/CAB/COM)</cp:lastModifiedBy>
  <cp:revision>1</cp:revision>
  <dcterms:created xsi:type="dcterms:W3CDTF">2026-02-13T15:02:00Z</dcterms:created>
  <dcterms:modified xsi:type="dcterms:W3CDTF">2026-02-13T15:02:00Z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2026-02-13T15:02:10Z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4aa75c56-ec4d-43df-ba91-009abc29e85a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